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Cs/>
          <w:lang w:val="es-CR"/>
        </w:rPr>
        <w:id w:val="-663078829"/>
        <w:docPartObj>
          <w:docPartGallery w:val="Cover Pages"/>
          <w:docPartUnique/>
        </w:docPartObj>
      </w:sdtPr>
      <w:sdtEndPr/>
      <w:sdtContent>
        <w:p w14:paraId="7AFAC5E4" w14:textId="2A6E8054" w:rsidR="008B0234" w:rsidRDefault="008B0234">
          <w:pPr>
            <w:rPr>
              <w:iCs/>
              <w:lang w:val="es-CR"/>
            </w:rPr>
          </w:pPr>
          <w:r w:rsidRPr="008B0234">
            <w:rPr>
              <w:iCs/>
              <w:noProof/>
              <w:lang w:val="es-CR"/>
            </w:rPr>
            <mc:AlternateContent>
              <mc:Choice Requires="wps">
                <w:drawing>
                  <wp:anchor distT="0" distB="0" distL="114300" distR="114300" simplePos="0" relativeHeight="251659264" behindDoc="0" locked="0" layoutInCell="1" allowOverlap="1" wp14:anchorId="501ABF84" wp14:editId="2D31FD87">
                    <wp:simplePos x="0" y="0"/>
                    <wp:positionH relativeFrom="page">
                      <wp:align>center</wp:align>
                    </wp:positionH>
                    <wp:positionV relativeFrom="page">
                      <wp:align>center</wp:align>
                    </wp:positionV>
                    <wp:extent cx="1712890" cy="3840480"/>
                    <wp:effectExtent l="0" t="0" r="1270" b="0"/>
                    <wp:wrapNone/>
                    <wp:docPr id="138" name="Cuadro de texto 139"/>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97132" w:themeColor="accent2"/>
                                  </w:tblBorders>
                                  <w:tblCellMar>
                                    <w:top w:w="1296" w:type="dxa"/>
                                    <w:left w:w="360" w:type="dxa"/>
                                    <w:bottom w:w="1296" w:type="dxa"/>
                                    <w:right w:w="360" w:type="dxa"/>
                                  </w:tblCellMar>
                                  <w:tblLook w:val="04A0" w:firstRow="1" w:lastRow="0" w:firstColumn="1" w:lastColumn="0" w:noHBand="0" w:noVBand="1"/>
                                </w:tblPr>
                                <w:tblGrid>
                                  <w:gridCol w:w="5280"/>
                                  <w:gridCol w:w="2349"/>
                                </w:tblGrid>
                                <w:tr w:rsidR="008B0234" w14:paraId="6751FAEE" w14:textId="77777777">
                                  <w:trPr>
                                    <w:jc w:val="center"/>
                                  </w:trPr>
                                  <w:tc>
                                    <w:tcPr>
                                      <w:tcW w:w="2568" w:type="pct"/>
                                      <w:vAlign w:val="center"/>
                                    </w:tcPr>
                                    <w:p w14:paraId="27AC1EE1" w14:textId="7903C3F8" w:rsidR="008B0234" w:rsidRDefault="008B0234">
                                      <w:pPr>
                                        <w:jc w:val="right"/>
                                      </w:pPr>
                                      <w:r>
                                        <w:rPr>
                                          <w:noProof/>
                                        </w:rPr>
                                        <w:drawing>
                                          <wp:inline distT="0" distB="0" distL="0" distR="0" wp14:anchorId="2081F89B" wp14:editId="1CCDF360">
                                            <wp:extent cx="2884825" cy="1439186"/>
                                            <wp:effectExtent l="0" t="0" r="0" b="8890"/>
                                            <wp:docPr id="3280562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056295" name=""/>
                                                    <pic:cNvPicPr/>
                                                  </pic:nvPicPr>
                                                  <pic:blipFill>
                                                    <a:blip r:embed="rId11"/>
                                                    <a:stretch>
                                                      <a:fillRect/>
                                                    </a:stretch>
                                                  </pic:blipFill>
                                                  <pic:spPr>
                                                    <a:xfrm>
                                                      <a:off x="0" y="0"/>
                                                      <a:ext cx="2906345" cy="1449922"/>
                                                    </a:xfrm>
                                                    <a:prstGeom prst="rect">
                                                      <a:avLst/>
                                                    </a:prstGeom>
                                                  </pic:spPr>
                                                </pic:pic>
                                              </a:graphicData>
                                            </a:graphic>
                                          </wp:inline>
                                        </w:drawing>
                                      </w:r>
                                      <w:r>
                                        <w:rPr>
                                          <w:noProof/>
                                        </w:rPr>
                                        <w:drawing>
                                          <wp:inline distT="0" distB="0" distL="0" distR="0" wp14:anchorId="5A8741AC" wp14:editId="6ED34D08">
                                            <wp:extent cx="2896060" cy="2934031"/>
                                            <wp:effectExtent l="0" t="0" r="0" b="0"/>
                                            <wp:docPr id="16761294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129449" name=""/>
                                                    <pic:cNvPicPr/>
                                                  </pic:nvPicPr>
                                                  <pic:blipFill rotWithShape="1">
                                                    <a:blip r:embed="rId12"/>
                                                    <a:srcRect l="1354" b="2623"/>
                                                    <a:stretch>
                                                      <a:fillRect/>
                                                    </a:stretch>
                                                  </pic:blipFill>
                                                  <pic:spPr bwMode="auto">
                                                    <a:xfrm>
                                                      <a:off x="0" y="0"/>
                                                      <a:ext cx="2913678" cy="2951880"/>
                                                    </a:xfrm>
                                                    <a:prstGeom prst="rect">
                                                      <a:avLst/>
                                                    </a:prstGeom>
                                                    <a:ln>
                                                      <a:noFill/>
                                                    </a:ln>
                                                    <a:extLst>
                                                      <a:ext uri="{53640926-AAD7-44D8-BBD7-CCE9431645EC}">
                                                        <a14:shadowObscured xmlns:a14="http://schemas.microsoft.com/office/drawing/2010/main"/>
                                                      </a:ext>
                                                    </a:extLst>
                                                  </pic:spPr>
                                                </pic:pic>
                                              </a:graphicData>
                                            </a:graphic>
                                          </wp:inline>
                                        </w:drawing>
                                      </w:r>
                                    </w:p>
                                    <w:sdt>
                                      <w:sdtPr>
                                        <w:rPr>
                                          <w:caps/>
                                          <w:color w:val="191919" w:themeColor="text1" w:themeTint="E6"/>
                                          <w:sz w:val="48"/>
                                          <w:szCs w:val="48"/>
                                        </w:rPr>
                                        <w:alias w:val="Título"/>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1129770F" w14:textId="73E2F5D9" w:rsidR="008B0234" w:rsidRDefault="008B0234">
                                          <w:pPr>
                                            <w:pStyle w:val="Sinespaciado"/>
                                            <w:spacing w:line="312" w:lineRule="auto"/>
                                            <w:jc w:val="right"/>
                                            <w:rPr>
                                              <w:caps/>
                                              <w:color w:val="191919" w:themeColor="text1" w:themeTint="E6"/>
                                              <w:sz w:val="72"/>
                                              <w:szCs w:val="72"/>
                                            </w:rPr>
                                          </w:pPr>
                                          <w:r w:rsidRPr="008B0234">
                                            <w:rPr>
                                              <w:caps/>
                                              <w:color w:val="191919" w:themeColor="text1" w:themeTint="E6"/>
                                              <w:sz w:val="48"/>
                                              <w:szCs w:val="48"/>
                                            </w:rPr>
                                            <w:t>Informe de lecciones aprendidas</w:t>
                                          </w:r>
                                        </w:p>
                                      </w:sdtContent>
                                    </w:sdt>
                                    <w:sdt>
                                      <w:sdtPr>
                                        <w:rPr>
                                          <w:color w:val="000000" w:themeColor="text1"/>
                                        </w:rPr>
                                        <w:alias w:val="Subtítulo"/>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7EC926D7" w14:textId="1BACD318" w:rsidR="008B0234" w:rsidRDefault="008B0234">
                                          <w:pPr>
                                            <w:jc w:val="right"/>
                                          </w:pPr>
                                          <w:r>
                                            <w:rPr>
                                              <w:color w:val="000000" w:themeColor="text1"/>
                                            </w:rPr>
                                            <w:t xml:space="preserve">     </w:t>
                                          </w:r>
                                        </w:p>
                                      </w:sdtContent>
                                    </w:sdt>
                                  </w:tc>
                                  <w:tc>
                                    <w:tcPr>
                                      <w:tcW w:w="2432" w:type="pct"/>
                                      <w:vAlign w:val="center"/>
                                    </w:tcPr>
                                    <w:p w14:paraId="270D7355" w14:textId="77777777" w:rsidR="000E30FB" w:rsidRDefault="000E30FB" w:rsidP="000E30FB">
                                      <w:pPr>
                                        <w:pStyle w:val="Sinespaciado"/>
                                        <w:jc w:val="center"/>
                                        <w:rPr>
                                          <w:b/>
                                          <w:bCs/>
                                          <w:caps/>
                                          <w:color w:val="E97132" w:themeColor="accent2"/>
                                          <w:sz w:val="26"/>
                                          <w:szCs w:val="26"/>
                                          <w:lang w:val="es-ES"/>
                                        </w:rPr>
                                      </w:pPr>
                                      <w:r>
                                        <w:rPr>
                                          <w:b/>
                                          <w:bCs/>
                                          <w:caps/>
                                          <w:color w:val="E97132" w:themeColor="accent2"/>
                                          <w:sz w:val="26"/>
                                          <w:szCs w:val="26"/>
                                          <w:lang w:val="es-ES"/>
                                        </w:rPr>
                                        <w:t>PROGRAMA DE LAS NACIONES UNIDAS PARA EL DESARROLLO</w:t>
                                      </w:r>
                                    </w:p>
                                    <w:p w14:paraId="2E92CBD6" w14:textId="77777777" w:rsidR="000E30FB" w:rsidRDefault="000E30FB" w:rsidP="000E30FB">
                                      <w:pPr>
                                        <w:pStyle w:val="Sinespaciado"/>
                                        <w:jc w:val="center"/>
                                        <w:rPr>
                                          <w:b/>
                                          <w:bCs/>
                                          <w:caps/>
                                          <w:color w:val="E97132" w:themeColor="accent2"/>
                                          <w:sz w:val="26"/>
                                          <w:szCs w:val="26"/>
                                          <w:lang w:val="es-ES"/>
                                        </w:rPr>
                                      </w:pPr>
                                    </w:p>
                                    <w:p w14:paraId="0C3D3EE1" w14:textId="77777777" w:rsidR="000E30FB" w:rsidRDefault="000E30FB" w:rsidP="000E30FB">
                                      <w:pPr>
                                        <w:pStyle w:val="Sinespaciado"/>
                                        <w:jc w:val="center"/>
                                        <w:rPr>
                                          <w:b/>
                                          <w:bCs/>
                                          <w:caps/>
                                          <w:color w:val="E97132" w:themeColor="accent2"/>
                                          <w:sz w:val="26"/>
                                          <w:szCs w:val="26"/>
                                          <w:lang w:val="es-ES"/>
                                        </w:rPr>
                                      </w:pPr>
                                    </w:p>
                                    <w:p w14:paraId="76FF9680" w14:textId="77777777" w:rsidR="000E30FB" w:rsidRDefault="000E30FB" w:rsidP="000E30FB">
                                      <w:pPr>
                                        <w:pStyle w:val="Sinespaciado"/>
                                        <w:jc w:val="center"/>
                                        <w:rPr>
                                          <w:b/>
                                          <w:bCs/>
                                          <w:caps/>
                                          <w:color w:val="E97132" w:themeColor="accent2"/>
                                          <w:sz w:val="26"/>
                                          <w:szCs w:val="26"/>
                                          <w:lang w:val="es-ES"/>
                                        </w:rPr>
                                      </w:pPr>
                                    </w:p>
                                    <w:p w14:paraId="430F557E" w14:textId="77777777" w:rsidR="000E30FB" w:rsidRPr="008B0234" w:rsidRDefault="000E30FB" w:rsidP="000E30FB">
                                      <w:pPr>
                                        <w:pStyle w:val="Sinespaciado"/>
                                        <w:jc w:val="center"/>
                                        <w:rPr>
                                          <w:b/>
                                          <w:bCs/>
                                          <w:caps/>
                                          <w:color w:val="E97132" w:themeColor="accent2"/>
                                          <w:sz w:val="26"/>
                                          <w:szCs w:val="26"/>
                                          <w:lang w:val="es-ES"/>
                                        </w:rPr>
                                      </w:pPr>
                                    </w:p>
                                    <w:p w14:paraId="7292EE9A" w14:textId="7AA48ACF" w:rsidR="008B0234" w:rsidRDefault="008B0234" w:rsidP="000E30FB">
                                      <w:pPr>
                                        <w:pStyle w:val="Sinespaciado"/>
                                        <w:jc w:val="center"/>
                                        <w:rPr>
                                          <w:b/>
                                          <w:bCs/>
                                          <w:caps/>
                                          <w:color w:val="E97132" w:themeColor="accent2"/>
                                          <w:sz w:val="26"/>
                                          <w:szCs w:val="26"/>
                                          <w:lang w:val="es-ES"/>
                                        </w:rPr>
                                      </w:pPr>
                                      <w:r w:rsidRPr="008B0234">
                                        <w:rPr>
                                          <w:b/>
                                          <w:bCs/>
                                          <w:caps/>
                                          <w:color w:val="E97132" w:themeColor="accent2"/>
                                          <w:sz w:val="26"/>
                                          <w:szCs w:val="26"/>
                                          <w:lang w:val="es-ES"/>
                                        </w:rPr>
                                        <w:t xml:space="preserve">proyecto </w:t>
                                      </w:r>
                                      <w:r>
                                        <w:rPr>
                                          <w:b/>
                                          <w:bCs/>
                                          <w:caps/>
                                          <w:color w:val="E97132" w:themeColor="accent2"/>
                                          <w:sz w:val="26"/>
                                          <w:szCs w:val="26"/>
                                          <w:lang w:val="es-ES"/>
                                        </w:rPr>
                                        <w:t>REDD+</w:t>
                                      </w:r>
                                      <w:r w:rsidRPr="008B0234">
                                        <w:rPr>
                                          <w:b/>
                                          <w:bCs/>
                                          <w:caps/>
                                          <w:color w:val="E97132" w:themeColor="accent2"/>
                                          <w:sz w:val="26"/>
                                          <w:szCs w:val="26"/>
                                          <w:lang w:val="es-ES"/>
                                        </w:rPr>
                                        <w:t xml:space="preserve"> Pago</w:t>
                                      </w:r>
                                      <w:r>
                                        <w:rPr>
                                          <w:b/>
                                          <w:bCs/>
                                          <w:caps/>
                                          <w:color w:val="E97132" w:themeColor="accent2"/>
                                          <w:sz w:val="26"/>
                                          <w:szCs w:val="26"/>
                                          <w:lang w:val="es-ES"/>
                                        </w:rPr>
                                        <w:t xml:space="preserve"> BASADO EN </w:t>
                                      </w:r>
                                      <w:r w:rsidRPr="008B0234">
                                        <w:rPr>
                                          <w:b/>
                                          <w:bCs/>
                                          <w:caps/>
                                          <w:color w:val="E97132" w:themeColor="accent2"/>
                                          <w:sz w:val="26"/>
                                          <w:szCs w:val="26"/>
                                          <w:lang w:val="es-ES"/>
                                        </w:rPr>
                                        <w:t>RESULTADOS de Costa Rica para el periodo de resultados 2014-2015</w:t>
                                      </w:r>
                                    </w:p>
                                    <w:p w14:paraId="6ED53606" w14:textId="77777777" w:rsidR="008B0234" w:rsidRDefault="008B0234" w:rsidP="000E30FB">
                                      <w:pPr>
                                        <w:pStyle w:val="Sinespaciado"/>
                                        <w:jc w:val="center"/>
                                        <w:rPr>
                                          <w:b/>
                                          <w:bCs/>
                                          <w:caps/>
                                          <w:color w:val="E97132" w:themeColor="accent2"/>
                                          <w:sz w:val="26"/>
                                          <w:szCs w:val="26"/>
                                          <w:lang w:val="es-ES"/>
                                        </w:rPr>
                                      </w:pPr>
                                    </w:p>
                                    <w:sdt>
                                      <w:sdtPr>
                                        <w:rPr>
                                          <w:color w:val="000000" w:themeColor="text1"/>
                                        </w:rPr>
                                        <w:alias w:val="Resumen"/>
                                        <w:tag w:val=""/>
                                        <w:id w:val="-2036181933"/>
                                        <w:showingPlcHdr/>
                                        <w:dataBinding w:prefixMappings="xmlns:ns0='http://schemas.microsoft.com/office/2006/coverPageProps' " w:xpath="/ns0:CoverPageProperties[1]/ns0:Abstract[1]" w:storeItemID="{55AF091B-3C7A-41E3-B477-F2FDAA23CFDA}"/>
                                        <w:text/>
                                      </w:sdtPr>
                                      <w:sdtEndPr/>
                                      <w:sdtContent>
                                        <w:p w14:paraId="18867E54" w14:textId="1C71F2D0" w:rsidR="008B0234" w:rsidRDefault="008B0234" w:rsidP="000E30FB">
                                          <w:pPr>
                                            <w:jc w:val="center"/>
                                            <w:rPr>
                                              <w:color w:val="000000" w:themeColor="text1"/>
                                            </w:rPr>
                                          </w:pPr>
                                          <w:r>
                                            <w:rPr>
                                              <w:color w:val="000000" w:themeColor="text1"/>
                                            </w:rPr>
                                            <w:t xml:space="preserve">     </w:t>
                                          </w:r>
                                        </w:p>
                                      </w:sdtContent>
                                    </w:sdt>
                                    <w:sdt>
                                      <w:sdtPr>
                                        <w:rPr>
                                          <w:color w:val="E97132" w:themeColor="accent2"/>
                                          <w:sz w:val="26"/>
                                          <w:szCs w:val="26"/>
                                        </w:rPr>
                                        <w:alias w:val="Autor"/>
                                        <w:tag w:val=""/>
                                        <w:id w:val="-279026076"/>
                                        <w:dataBinding w:prefixMappings="xmlns:ns0='http://purl.org/dc/elements/1.1/' xmlns:ns1='http://schemas.openxmlformats.org/package/2006/metadata/core-properties' " w:xpath="/ns1:coreProperties[1]/ns0:creator[1]" w:storeItemID="{6C3C8BC8-F283-45AE-878A-BAB7291924A1}"/>
                                        <w:text/>
                                      </w:sdtPr>
                                      <w:sdtEndPr>
                                        <w:rPr>
                                          <w:color w:val="auto"/>
                                          <w:sz w:val="22"/>
                                          <w:szCs w:val="22"/>
                                        </w:rPr>
                                      </w:sdtEndPr>
                                      <w:sdtContent>
                                        <w:p w14:paraId="44F0DCC3" w14:textId="2E8B90D2" w:rsidR="008B0234" w:rsidRDefault="000E30FB" w:rsidP="000E30FB">
                                          <w:pPr>
                                            <w:pStyle w:val="Sinespaciado"/>
                                            <w:jc w:val="center"/>
                                          </w:pPr>
                                          <w:r>
                                            <w:rPr>
                                              <w:color w:val="E97132" w:themeColor="accent2"/>
                                              <w:sz w:val="26"/>
                                              <w:szCs w:val="26"/>
                                            </w:rPr>
                                            <w:t>Equipo</w:t>
                                          </w:r>
                                          <w:r w:rsidR="009153ED">
                                            <w:rPr>
                                              <w:color w:val="E97132" w:themeColor="accent2"/>
                                              <w:sz w:val="26"/>
                                              <w:szCs w:val="26"/>
                                            </w:rPr>
                                            <w:t xml:space="preserve"> del</w:t>
                                          </w:r>
                                          <w:r>
                                            <w:rPr>
                                              <w:color w:val="E97132" w:themeColor="accent2"/>
                                              <w:sz w:val="26"/>
                                              <w:szCs w:val="26"/>
                                            </w:rPr>
                                            <w:t xml:space="preserve"> Proyecto </w:t>
                                          </w:r>
                                        </w:p>
                                      </w:sdtContent>
                                    </w:sdt>
                                  </w:tc>
                                </w:tr>
                              </w:tbl>
                              <w:p w14:paraId="4F147159" w14:textId="77777777" w:rsidR="008B0234" w:rsidRDefault="008B0234"/>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501ABF84" id="_x0000_t202" coordsize="21600,21600" o:spt="202" path="m,l,21600r21600,l21600,xe">
                    <v:stroke joinstyle="miter"/>
                    <v:path gradientshapeok="t" o:connecttype="rect"/>
                  </v:shapetype>
                  <v:shape id="Cuadro de texto 139"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5000" w:type="pct"/>
                            <w:jc w:val="center"/>
                            <w:tblBorders>
                              <w:insideV w:val="single" w:sz="12" w:space="0" w:color="E97132" w:themeColor="accent2"/>
                            </w:tblBorders>
                            <w:tblCellMar>
                              <w:top w:w="1296" w:type="dxa"/>
                              <w:left w:w="360" w:type="dxa"/>
                              <w:bottom w:w="1296" w:type="dxa"/>
                              <w:right w:w="360" w:type="dxa"/>
                            </w:tblCellMar>
                            <w:tblLook w:val="04A0" w:firstRow="1" w:lastRow="0" w:firstColumn="1" w:lastColumn="0" w:noHBand="0" w:noVBand="1"/>
                          </w:tblPr>
                          <w:tblGrid>
                            <w:gridCol w:w="5280"/>
                            <w:gridCol w:w="2349"/>
                          </w:tblGrid>
                          <w:tr w:rsidR="008B0234" w14:paraId="6751FAEE" w14:textId="77777777">
                            <w:trPr>
                              <w:jc w:val="center"/>
                            </w:trPr>
                            <w:tc>
                              <w:tcPr>
                                <w:tcW w:w="2568" w:type="pct"/>
                                <w:vAlign w:val="center"/>
                              </w:tcPr>
                              <w:p w14:paraId="27AC1EE1" w14:textId="7903C3F8" w:rsidR="008B0234" w:rsidRDefault="008B0234">
                                <w:pPr>
                                  <w:jc w:val="right"/>
                                </w:pPr>
                                <w:r>
                                  <w:rPr>
                                    <w:noProof/>
                                  </w:rPr>
                                  <w:drawing>
                                    <wp:inline distT="0" distB="0" distL="0" distR="0" wp14:anchorId="2081F89B" wp14:editId="1CCDF360">
                                      <wp:extent cx="2884825" cy="1439186"/>
                                      <wp:effectExtent l="0" t="0" r="0" b="8890"/>
                                      <wp:docPr id="3280562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056295" name=""/>
                                              <pic:cNvPicPr/>
                                            </pic:nvPicPr>
                                            <pic:blipFill>
                                              <a:blip r:embed="rId11"/>
                                              <a:stretch>
                                                <a:fillRect/>
                                              </a:stretch>
                                            </pic:blipFill>
                                            <pic:spPr>
                                              <a:xfrm>
                                                <a:off x="0" y="0"/>
                                                <a:ext cx="2906345" cy="1449922"/>
                                              </a:xfrm>
                                              <a:prstGeom prst="rect">
                                                <a:avLst/>
                                              </a:prstGeom>
                                            </pic:spPr>
                                          </pic:pic>
                                        </a:graphicData>
                                      </a:graphic>
                                    </wp:inline>
                                  </w:drawing>
                                </w:r>
                                <w:r>
                                  <w:rPr>
                                    <w:noProof/>
                                  </w:rPr>
                                  <w:drawing>
                                    <wp:inline distT="0" distB="0" distL="0" distR="0" wp14:anchorId="5A8741AC" wp14:editId="6ED34D08">
                                      <wp:extent cx="2896060" cy="2934031"/>
                                      <wp:effectExtent l="0" t="0" r="0" b="0"/>
                                      <wp:docPr id="16761294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129449" name=""/>
                                              <pic:cNvPicPr/>
                                            </pic:nvPicPr>
                                            <pic:blipFill rotWithShape="1">
                                              <a:blip r:embed="rId12"/>
                                              <a:srcRect l="1354" b="2623"/>
                                              <a:stretch>
                                                <a:fillRect/>
                                              </a:stretch>
                                            </pic:blipFill>
                                            <pic:spPr bwMode="auto">
                                              <a:xfrm>
                                                <a:off x="0" y="0"/>
                                                <a:ext cx="2913678" cy="2951880"/>
                                              </a:xfrm>
                                              <a:prstGeom prst="rect">
                                                <a:avLst/>
                                              </a:prstGeom>
                                              <a:ln>
                                                <a:noFill/>
                                              </a:ln>
                                              <a:extLst>
                                                <a:ext uri="{53640926-AAD7-44D8-BBD7-CCE9431645EC}">
                                                  <a14:shadowObscured xmlns:a14="http://schemas.microsoft.com/office/drawing/2010/main"/>
                                                </a:ext>
                                              </a:extLst>
                                            </pic:spPr>
                                          </pic:pic>
                                        </a:graphicData>
                                      </a:graphic>
                                    </wp:inline>
                                  </w:drawing>
                                </w:r>
                              </w:p>
                              <w:sdt>
                                <w:sdtPr>
                                  <w:rPr>
                                    <w:caps/>
                                    <w:color w:val="191919" w:themeColor="text1" w:themeTint="E6"/>
                                    <w:sz w:val="48"/>
                                    <w:szCs w:val="48"/>
                                  </w:rPr>
                                  <w:alias w:val="Título"/>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1129770F" w14:textId="73E2F5D9" w:rsidR="008B0234" w:rsidRDefault="008B0234">
                                    <w:pPr>
                                      <w:pStyle w:val="Sinespaciado"/>
                                      <w:spacing w:line="312" w:lineRule="auto"/>
                                      <w:jc w:val="right"/>
                                      <w:rPr>
                                        <w:caps/>
                                        <w:color w:val="191919" w:themeColor="text1" w:themeTint="E6"/>
                                        <w:sz w:val="72"/>
                                        <w:szCs w:val="72"/>
                                      </w:rPr>
                                    </w:pPr>
                                    <w:r w:rsidRPr="008B0234">
                                      <w:rPr>
                                        <w:caps/>
                                        <w:color w:val="191919" w:themeColor="text1" w:themeTint="E6"/>
                                        <w:sz w:val="48"/>
                                        <w:szCs w:val="48"/>
                                      </w:rPr>
                                      <w:t>Informe de lecciones aprendidas</w:t>
                                    </w:r>
                                  </w:p>
                                </w:sdtContent>
                              </w:sdt>
                              <w:sdt>
                                <w:sdtPr>
                                  <w:rPr>
                                    <w:color w:val="000000" w:themeColor="text1"/>
                                  </w:rPr>
                                  <w:alias w:val="Subtítulo"/>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14:paraId="7EC926D7" w14:textId="1BACD318" w:rsidR="008B0234" w:rsidRDefault="008B0234">
                                    <w:pPr>
                                      <w:jc w:val="right"/>
                                    </w:pPr>
                                    <w:r>
                                      <w:rPr>
                                        <w:color w:val="000000" w:themeColor="text1"/>
                                      </w:rPr>
                                      <w:t xml:space="preserve">     </w:t>
                                    </w:r>
                                  </w:p>
                                </w:sdtContent>
                              </w:sdt>
                            </w:tc>
                            <w:tc>
                              <w:tcPr>
                                <w:tcW w:w="2432" w:type="pct"/>
                                <w:vAlign w:val="center"/>
                              </w:tcPr>
                              <w:p w14:paraId="270D7355" w14:textId="77777777" w:rsidR="000E30FB" w:rsidRDefault="000E30FB" w:rsidP="000E30FB">
                                <w:pPr>
                                  <w:pStyle w:val="Sinespaciado"/>
                                  <w:jc w:val="center"/>
                                  <w:rPr>
                                    <w:b/>
                                    <w:bCs/>
                                    <w:caps/>
                                    <w:color w:val="E97132" w:themeColor="accent2"/>
                                    <w:sz w:val="26"/>
                                    <w:szCs w:val="26"/>
                                    <w:lang w:val="es-ES"/>
                                  </w:rPr>
                                </w:pPr>
                                <w:r>
                                  <w:rPr>
                                    <w:b/>
                                    <w:bCs/>
                                    <w:caps/>
                                    <w:color w:val="E97132" w:themeColor="accent2"/>
                                    <w:sz w:val="26"/>
                                    <w:szCs w:val="26"/>
                                    <w:lang w:val="es-ES"/>
                                  </w:rPr>
                                  <w:t>PROGRAMA DE LAS NACIONES UNIDAS PARA EL DESARROLLO</w:t>
                                </w:r>
                              </w:p>
                              <w:p w14:paraId="2E92CBD6" w14:textId="77777777" w:rsidR="000E30FB" w:rsidRDefault="000E30FB" w:rsidP="000E30FB">
                                <w:pPr>
                                  <w:pStyle w:val="Sinespaciado"/>
                                  <w:jc w:val="center"/>
                                  <w:rPr>
                                    <w:b/>
                                    <w:bCs/>
                                    <w:caps/>
                                    <w:color w:val="E97132" w:themeColor="accent2"/>
                                    <w:sz w:val="26"/>
                                    <w:szCs w:val="26"/>
                                    <w:lang w:val="es-ES"/>
                                  </w:rPr>
                                </w:pPr>
                              </w:p>
                              <w:p w14:paraId="0C3D3EE1" w14:textId="77777777" w:rsidR="000E30FB" w:rsidRDefault="000E30FB" w:rsidP="000E30FB">
                                <w:pPr>
                                  <w:pStyle w:val="Sinespaciado"/>
                                  <w:jc w:val="center"/>
                                  <w:rPr>
                                    <w:b/>
                                    <w:bCs/>
                                    <w:caps/>
                                    <w:color w:val="E97132" w:themeColor="accent2"/>
                                    <w:sz w:val="26"/>
                                    <w:szCs w:val="26"/>
                                    <w:lang w:val="es-ES"/>
                                  </w:rPr>
                                </w:pPr>
                              </w:p>
                              <w:p w14:paraId="76FF9680" w14:textId="77777777" w:rsidR="000E30FB" w:rsidRDefault="000E30FB" w:rsidP="000E30FB">
                                <w:pPr>
                                  <w:pStyle w:val="Sinespaciado"/>
                                  <w:jc w:val="center"/>
                                  <w:rPr>
                                    <w:b/>
                                    <w:bCs/>
                                    <w:caps/>
                                    <w:color w:val="E97132" w:themeColor="accent2"/>
                                    <w:sz w:val="26"/>
                                    <w:szCs w:val="26"/>
                                    <w:lang w:val="es-ES"/>
                                  </w:rPr>
                                </w:pPr>
                              </w:p>
                              <w:p w14:paraId="430F557E" w14:textId="77777777" w:rsidR="000E30FB" w:rsidRPr="008B0234" w:rsidRDefault="000E30FB" w:rsidP="000E30FB">
                                <w:pPr>
                                  <w:pStyle w:val="Sinespaciado"/>
                                  <w:jc w:val="center"/>
                                  <w:rPr>
                                    <w:b/>
                                    <w:bCs/>
                                    <w:caps/>
                                    <w:color w:val="E97132" w:themeColor="accent2"/>
                                    <w:sz w:val="26"/>
                                    <w:szCs w:val="26"/>
                                    <w:lang w:val="es-ES"/>
                                  </w:rPr>
                                </w:pPr>
                              </w:p>
                              <w:p w14:paraId="7292EE9A" w14:textId="7AA48ACF" w:rsidR="008B0234" w:rsidRDefault="008B0234" w:rsidP="000E30FB">
                                <w:pPr>
                                  <w:pStyle w:val="Sinespaciado"/>
                                  <w:jc w:val="center"/>
                                  <w:rPr>
                                    <w:b/>
                                    <w:bCs/>
                                    <w:caps/>
                                    <w:color w:val="E97132" w:themeColor="accent2"/>
                                    <w:sz w:val="26"/>
                                    <w:szCs w:val="26"/>
                                    <w:lang w:val="es-ES"/>
                                  </w:rPr>
                                </w:pPr>
                                <w:r w:rsidRPr="008B0234">
                                  <w:rPr>
                                    <w:b/>
                                    <w:bCs/>
                                    <w:caps/>
                                    <w:color w:val="E97132" w:themeColor="accent2"/>
                                    <w:sz w:val="26"/>
                                    <w:szCs w:val="26"/>
                                    <w:lang w:val="es-ES"/>
                                  </w:rPr>
                                  <w:t xml:space="preserve">proyecto </w:t>
                                </w:r>
                                <w:r>
                                  <w:rPr>
                                    <w:b/>
                                    <w:bCs/>
                                    <w:caps/>
                                    <w:color w:val="E97132" w:themeColor="accent2"/>
                                    <w:sz w:val="26"/>
                                    <w:szCs w:val="26"/>
                                    <w:lang w:val="es-ES"/>
                                  </w:rPr>
                                  <w:t>REDD+</w:t>
                                </w:r>
                                <w:r w:rsidRPr="008B0234">
                                  <w:rPr>
                                    <w:b/>
                                    <w:bCs/>
                                    <w:caps/>
                                    <w:color w:val="E97132" w:themeColor="accent2"/>
                                    <w:sz w:val="26"/>
                                    <w:szCs w:val="26"/>
                                    <w:lang w:val="es-ES"/>
                                  </w:rPr>
                                  <w:t xml:space="preserve"> Pago</w:t>
                                </w:r>
                                <w:r>
                                  <w:rPr>
                                    <w:b/>
                                    <w:bCs/>
                                    <w:caps/>
                                    <w:color w:val="E97132" w:themeColor="accent2"/>
                                    <w:sz w:val="26"/>
                                    <w:szCs w:val="26"/>
                                    <w:lang w:val="es-ES"/>
                                  </w:rPr>
                                  <w:t xml:space="preserve"> BASADO EN </w:t>
                                </w:r>
                                <w:r w:rsidRPr="008B0234">
                                  <w:rPr>
                                    <w:b/>
                                    <w:bCs/>
                                    <w:caps/>
                                    <w:color w:val="E97132" w:themeColor="accent2"/>
                                    <w:sz w:val="26"/>
                                    <w:szCs w:val="26"/>
                                    <w:lang w:val="es-ES"/>
                                  </w:rPr>
                                  <w:t>RESULTADOS de Costa Rica para el periodo de resultados 2014-2015</w:t>
                                </w:r>
                              </w:p>
                              <w:p w14:paraId="6ED53606" w14:textId="77777777" w:rsidR="008B0234" w:rsidRDefault="008B0234" w:rsidP="000E30FB">
                                <w:pPr>
                                  <w:pStyle w:val="Sinespaciado"/>
                                  <w:jc w:val="center"/>
                                  <w:rPr>
                                    <w:b/>
                                    <w:bCs/>
                                    <w:caps/>
                                    <w:color w:val="E97132" w:themeColor="accent2"/>
                                    <w:sz w:val="26"/>
                                    <w:szCs w:val="26"/>
                                    <w:lang w:val="es-ES"/>
                                  </w:rPr>
                                </w:pPr>
                              </w:p>
                              <w:sdt>
                                <w:sdtPr>
                                  <w:rPr>
                                    <w:color w:val="000000" w:themeColor="text1"/>
                                  </w:rPr>
                                  <w:alias w:val="Resumen"/>
                                  <w:tag w:val=""/>
                                  <w:id w:val="-2036181933"/>
                                  <w:showingPlcHdr/>
                                  <w:dataBinding w:prefixMappings="xmlns:ns0='http://schemas.microsoft.com/office/2006/coverPageProps' " w:xpath="/ns0:CoverPageProperties[1]/ns0:Abstract[1]" w:storeItemID="{55AF091B-3C7A-41E3-B477-F2FDAA23CFDA}"/>
                                  <w:text/>
                                </w:sdtPr>
                                <w:sdtEndPr/>
                                <w:sdtContent>
                                  <w:p w14:paraId="18867E54" w14:textId="1C71F2D0" w:rsidR="008B0234" w:rsidRDefault="008B0234" w:rsidP="000E30FB">
                                    <w:pPr>
                                      <w:jc w:val="center"/>
                                      <w:rPr>
                                        <w:color w:val="000000" w:themeColor="text1"/>
                                      </w:rPr>
                                    </w:pPr>
                                    <w:r>
                                      <w:rPr>
                                        <w:color w:val="000000" w:themeColor="text1"/>
                                      </w:rPr>
                                      <w:t xml:space="preserve">     </w:t>
                                    </w:r>
                                  </w:p>
                                </w:sdtContent>
                              </w:sdt>
                              <w:sdt>
                                <w:sdtPr>
                                  <w:rPr>
                                    <w:color w:val="E97132" w:themeColor="accent2"/>
                                    <w:sz w:val="26"/>
                                    <w:szCs w:val="26"/>
                                  </w:rPr>
                                  <w:alias w:val="Autor"/>
                                  <w:tag w:val=""/>
                                  <w:id w:val="-279026076"/>
                                  <w:dataBinding w:prefixMappings="xmlns:ns0='http://purl.org/dc/elements/1.1/' xmlns:ns1='http://schemas.openxmlformats.org/package/2006/metadata/core-properties' " w:xpath="/ns1:coreProperties[1]/ns0:creator[1]" w:storeItemID="{6C3C8BC8-F283-45AE-878A-BAB7291924A1}"/>
                                  <w:text/>
                                </w:sdtPr>
                                <w:sdtEndPr>
                                  <w:rPr>
                                    <w:color w:val="auto"/>
                                    <w:sz w:val="22"/>
                                    <w:szCs w:val="22"/>
                                  </w:rPr>
                                </w:sdtEndPr>
                                <w:sdtContent>
                                  <w:p w14:paraId="44F0DCC3" w14:textId="2E8B90D2" w:rsidR="008B0234" w:rsidRDefault="000E30FB" w:rsidP="000E30FB">
                                    <w:pPr>
                                      <w:pStyle w:val="Sinespaciado"/>
                                      <w:jc w:val="center"/>
                                    </w:pPr>
                                    <w:r>
                                      <w:rPr>
                                        <w:color w:val="E97132" w:themeColor="accent2"/>
                                        <w:sz w:val="26"/>
                                        <w:szCs w:val="26"/>
                                      </w:rPr>
                                      <w:t>Equipo</w:t>
                                    </w:r>
                                    <w:r w:rsidR="009153ED">
                                      <w:rPr>
                                        <w:color w:val="E97132" w:themeColor="accent2"/>
                                        <w:sz w:val="26"/>
                                        <w:szCs w:val="26"/>
                                      </w:rPr>
                                      <w:t xml:space="preserve"> del</w:t>
                                    </w:r>
                                    <w:r>
                                      <w:rPr>
                                        <w:color w:val="E97132" w:themeColor="accent2"/>
                                        <w:sz w:val="26"/>
                                        <w:szCs w:val="26"/>
                                      </w:rPr>
                                      <w:t xml:space="preserve"> Proyecto </w:t>
                                    </w:r>
                                  </w:p>
                                </w:sdtContent>
                              </w:sdt>
                            </w:tc>
                          </w:tr>
                        </w:tbl>
                        <w:p w14:paraId="4F147159" w14:textId="77777777" w:rsidR="008B0234" w:rsidRDefault="008B0234"/>
                      </w:txbxContent>
                    </v:textbox>
                    <w10:wrap anchorx="page" anchory="page"/>
                  </v:shape>
                </w:pict>
              </mc:Fallback>
            </mc:AlternateContent>
          </w:r>
          <w:r>
            <w:rPr>
              <w:iCs/>
              <w:lang w:val="es-CR"/>
            </w:rPr>
            <w:br w:type="page"/>
          </w:r>
        </w:p>
      </w:sdtContent>
    </w:sdt>
    <w:p w14:paraId="4C702C5D" w14:textId="007F230F" w:rsidR="00D37738" w:rsidRPr="00D37738" w:rsidRDefault="00D37738" w:rsidP="00D37738">
      <w:pPr>
        <w:pStyle w:val="Ttulo1"/>
        <w:rPr>
          <w:color w:val="BF4E14" w:themeColor="accent2" w:themeShade="BF"/>
          <w:lang w:val="es-CR"/>
        </w:rPr>
      </w:pPr>
      <w:bookmarkStart w:id="0" w:name="_Toc230169020"/>
      <w:r w:rsidRPr="00D37738">
        <w:rPr>
          <w:color w:val="BF4E14" w:themeColor="accent2" w:themeShade="BF"/>
          <w:lang w:val="es-CR"/>
        </w:rPr>
        <w:lastRenderedPageBreak/>
        <w:t>Lecciones aprendidas del proyecto REDD+ PBR</w:t>
      </w:r>
      <w:bookmarkEnd w:id="0"/>
    </w:p>
    <w:p w14:paraId="6B608E77" w14:textId="47252155" w:rsidR="008B0234" w:rsidRPr="001B3C72" w:rsidRDefault="008B0234" w:rsidP="008B0234">
      <w:pPr>
        <w:spacing w:line="276" w:lineRule="auto"/>
        <w:jc w:val="both"/>
        <w:rPr>
          <w:iCs/>
          <w:sz w:val="22"/>
          <w:szCs w:val="22"/>
          <w:lang w:val="es-CR"/>
        </w:rPr>
      </w:pPr>
      <w:r w:rsidRPr="001B3C72">
        <w:rPr>
          <w:iCs/>
          <w:sz w:val="22"/>
          <w:szCs w:val="22"/>
          <w:lang w:val="es-CR"/>
        </w:rPr>
        <w:t xml:space="preserve">La implementación del proyecto </w:t>
      </w:r>
      <w:r w:rsidR="00D37738" w:rsidRPr="001B3C72">
        <w:rPr>
          <w:iCs/>
          <w:sz w:val="22"/>
          <w:szCs w:val="22"/>
          <w:lang w:val="es-CR"/>
        </w:rPr>
        <w:t xml:space="preserve">REDD+ Pago Basado en Resultados implementado por el Programa de las Naciones Unidas para el Desarrollo, de la oficina de Costa Rica, </w:t>
      </w:r>
      <w:r w:rsidRPr="001B3C72">
        <w:rPr>
          <w:iCs/>
          <w:sz w:val="22"/>
          <w:szCs w:val="22"/>
          <w:lang w:val="es-CR"/>
        </w:rPr>
        <w:t>permitió generar aprendizajes relevantes derivados de los desafíos enfrentados durante su ejecución, evidenciando que la gestión adaptativa y la coordinación interinstitucional temprana son elementos críticos para el éxito de iniciativas climáticas complejas.</w:t>
      </w:r>
    </w:p>
    <w:p w14:paraId="787A86A8" w14:textId="3478D8C7" w:rsidR="008B0234" w:rsidRPr="001B3C72" w:rsidRDefault="008B0234" w:rsidP="008B0234">
      <w:pPr>
        <w:spacing w:line="276" w:lineRule="auto"/>
        <w:jc w:val="both"/>
        <w:rPr>
          <w:iCs/>
          <w:sz w:val="22"/>
          <w:szCs w:val="22"/>
          <w:lang w:val="es-CR"/>
        </w:rPr>
      </w:pPr>
      <w:r w:rsidRPr="001B3C72">
        <w:rPr>
          <w:iCs/>
          <w:sz w:val="22"/>
          <w:szCs w:val="22"/>
        </w:rPr>
        <w:t>A continuación, se describen en términos generales las principales lecciones aprendidas derivadas de la implementación del proyecto:</w:t>
      </w:r>
    </w:p>
    <w:p w14:paraId="7410A839" w14:textId="7F2F7F01" w:rsidR="008B0234" w:rsidRPr="001B3C72" w:rsidRDefault="008B0234" w:rsidP="008B0234">
      <w:pPr>
        <w:pStyle w:val="Ttulo2"/>
        <w:numPr>
          <w:ilvl w:val="0"/>
          <w:numId w:val="4"/>
        </w:numPr>
        <w:rPr>
          <w:sz w:val="28"/>
          <w:szCs w:val="28"/>
          <w:lang w:val="es-CR"/>
        </w:rPr>
      </w:pPr>
      <w:bookmarkStart w:id="1" w:name="_Toc230169021"/>
      <w:r w:rsidRPr="001B3C72">
        <w:rPr>
          <w:sz w:val="28"/>
          <w:szCs w:val="28"/>
          <w:lang w:val="es-CR"/>
        </w:rPr>
        <w:t>Fomentar la gobernanza entre las partes</w:t>
      </w:r>
      <w:bookmarkEnd w:id="1"/>
    </w:p>
    <w:p w14:paraId="72466D74" w14:textId="1244C870" w:rsidR="008B0234" w:rsidRPr="001B3C72" w:rsidRDefault="008B0234" w:rsidP="008B0234">
      <w:pPr>
        <w:spacing w:line="276" w:lineRule="auto"/>
        <w:jc w:val="both"/>
        <w:rPr>
          <w:iCs/>
          <w:sz w:val="22"/>
          <w:szCs w:val="22"/>
          <w:lang w:val="es-CR"/>
        </w:rPr>
      </w:pPr>
      <w:r w:rsidRPr="001B3C72">
        <w:rPr>
          <w:iCs/>
          <w:sz w:val="22"/>
          <w:szCs w:val="22"/>
          <w:lang w:val="es-CR"/>
        </w:rPr>
        <w:t xml:space="preserve">Si bien los mecanismos de coordinación institucional permitieron alinear actores y evitar duplicidades, el proceso evidenció que la articulación debe establecerse desde las etapas iniciales del diseño del proyecto, con roles claramente definidos </w:t>
      </w:r>
      <w:r w:rsidR="001B3C72">
        <w:rPr>
          <w:iCs/>
          <w:sz w:val="22"/>
          <w:szCs w:val="22"/>
          <w:lang w:val="es-CR"/>
        </w:rPr>
        <w:t>entre el PNUD y los socios responsables, así como</w:t>
      </w:r>
      <w:r w:rsidRPr="001B3C72">
        <w:rPr>
          <w:iCs/>
          <w:sz w:val="22"/>
          <w:szCs w:val="22"/>
          <w:lang w:val="es-CR"/>
        </w:rPr>
        <w:t xml:space="preserve"> calendarios conjuntos de planificación. Los mecanismos coordinación basados en el trabajo conjunto, la corresponsabilidad institucional y la planificación consensuada, no solo mejoran la eficiencia operativa, sino que también incrementan la apropiación de los resultados por parte de las instituciones nacionales y son una estrategia para la salida del proyecto. A futuro, se recomienda dejar claros los mecanismos de coordinación interinstitucional desde el inicio, incluyendo mecanismos de toma de decisiones previamente acordados, lo que permitiría reducir tiempos de ajuste y mejorar la eficiencia operativa.</w:t>
      </w:r>
    </w:p>
    <w:p w14:paraId="12305F1E" w14:textId="3111B96F" w:rsidR="008B0234" w:rsidRPr="001B3C72" w:rsidRDefault="008B0234" w:rsidP="001B3C72">
      <w:pPr>
        <w:pStyle w:val="Ttulo2"/>
        <w:numPr>
          <w:ilvl w:val="0"/>
          <w:numId w:val="4"/>
        </w:numPr>
        <w:spacing w:line="276" w:lineRule="auto"/>
        <w:jc w:val="both"/>
        <w:rPr>
          <w:sz w:val="28"/>
          <w:szCs w:val="28"/>
          <w:lang w:val="es-CR"/>
        </w:rPr>
      </w:pPr>
      <w:bookmarkStart w:id="2" w:name="_Toc230169022"/>
      <w:r w:rsidRPr="001B3C72">
        <w:rPr>
          <w:sz w:val="28"/>
          <w:szCs w:val="28"/>
          <w:lang w:val="es-CR"/>
        </w:rPr>
        <w:t xml:space="preserve">Promover participación </w:t>
      </w:r>
      <w:r w:rsidR="001B3C72" w:rsidRPr="001B3C72">
        <w:rPr>
          <w:sz w:val="28"/>
          <w:szCs w:val="28"/>
          <w:lang w:val="es-CR"/>
        </w:rPr>
        <w:t xml:space="preserve">efectiva </w:t>
      </w:r>
      <w:r w:rsidRPr="001B3C72">
        <w:rPr>
          <w:sz w:val="28"/>
          <w:szCs w:val="28"/>
          <w:lang w:val="es-CR"/>
        </w:rPr>
        <w:t>de pueblos indígenas y actores territoriales</w:t>
      </w:r>
      <w:r w:rsidR="001B3C72" w:rsidRPr="001B3C72">
        <w:rPr>
          <w:sz w:val="28"/>
          <w:szCs w:val="28"/>
          <w:lang w:val="es-CR"/>
        </w:rPr>
        <w:t>, con respeto a su identidad cultural y con empatía a sus necesidades</w:t>
      </w:r>
      <w:r w:rsidRPr="001B3C72">
        <w:rPr>
          <w:sz w:val="28"/>
          <w:szCs w:val="28"/>
          <w:lang w:val="es-CR"/>
        </w:rPr>
        <w:t>.</w:t>
      </w:r>
      <w:bookmarkEnd w:id="2"/>
      <w:r w:rsidRPr="001B3C72">
        <w:rPr>
          <w:sz w:val="28"/>
          <w:szCs w:val="28"/>
          <w:lang w:val="es-CR"/>
        </w:rPr>
        <w:t xml:space="preserve"> </w:t>
      </w:r>
    </w:p>
    <w:p w14:paraId="12E1EFA8" w14:textId="5C285421" w:rsidR="008B0234" w:rsidRPr="001B3C72" w:rsidRDefault="008B0234" w:rsidP="008B0234">
      <w:pPr>
        <w:spacing w:line="276" w:lineRule="auto"/>
        <w:jc w:val="both"/>
        <w:rPr>
          <w:iCs/>
          <w:sz w:val="22"/>
          <w:szCs w:val="22"/>
          <w:lang w:val="es-CR"/>
        </w:rPr>
      </w:pPr>
      <w:r w:rsidRPr="001B3C72">
        <w:rPr>
          <w:iCs/>
          <w:sz w:val="22"/>
          <w:szCs w:val="22"/>
          <w:lang w:val="es-CR"/>
        </w:rPr>
        <w:t>El proyecto demostró que la participación efectiva requiere procesos continuos y culturalmente respetuosos de la identidad y conocimientos locales, más allá de consultas puntuales. Se identificó que los tiempos institucionales no siempre coinciden con las dinámicas comunitarias. En futuras intervenciones será clave incorporar cronogramas flexibles, fortalecer la comunicación preventiva y destinar recursos específicos para procesos permanentes de mediación cultural. La experiencia confirma que invertir en participación temprana reduce significativamente los riesgos sociales y fortalece la legitimidad de las acciones.</w:t>
      </w:r>
    </w:p>
    <w:p w14:paraId="00B3C4E5" w14:textId="77777777" w:rsidR="008B0234" w:rsidRPr="001B3C72" w:rsidRDefault="008B0234" w:rsidP="008B0234">
      <w:pPr>
        <w:spacing w:line="276" w:lineRule="auto"/>
        <w:jc w:val="both"/>
        <w:rPr>
          <w:iCs/>
          <w:sz w:val="22"/>
          <w:szCs w:val="22"/>
          <w:lang w:val="es-CR"/>
        </w:rPr>
      </w:pPr>
      <w:r w:rsidRPr="001B3C72">
        <w:rPr>
          <w:iCs/>
          <w:sz w:val="22"/>
          <w:szCs w:val="22"/>
          <w:lang w:val="es-CR"/>
        </w:rPr>
        <w:t xml:space="preserve">Debe tenerse claro que la participación comunitaria no puede limitarse a procesos únicamente informativos, sino que debe diseñarse de manera culturalmente pertinente, continua y adaptada a las realidades territoriales. La experiencia del proyecto mostró que una presencia constante y una comunicación fluida son fundamentales para anticipar riesgos sociales, reducir tensiones y fortalecer la legitimidad de las intervenciones. </w:t>
      </w:r>
    </w:p>
    <w:p w14:paraId="0B9535E6" w14:textId="2E82E6FD" w:rsidR="008B0234" w:rsidRPr="001B3C72" w:rsidRDefault="008B0234" w:rsidP="008B0234">
      <w:pPr>
        <w:spacing w:line="276" w:lineRule="auto"/>
        <w:jc w:val="both"/>
        <w:rPr>
          <w:iCs/>
          <w:sz w:val="22"/>
          <w:szCs w:val="22"/>
          <w:lang w:val="es-CR"/>
        </w:rPr>
      </w:pPr>
      <w:r w:rsidRPr="001B3C72">
        <w:rPr>
          <w:iCs/>
          <w:sz w:val="22"/>
          <w:szCs w:val="22"/>
          <w:lang w:val="es-CR"/>
        </w:rPr>
        <w:lastRenderedPageBreak/>
        <w:t xml:space="preserve">A nivel de TIs, se vio la necesidad de adaptar metodologías, fortalecer instrumentos específicos y reconocer las prioridades definidas desde los propios territorios. No todas las dinámicas en los territorios ni </w:t>
      </w:r>
      <w:r w:rsidR="00D37738" w:rsidRPr="001B3C72">
        <w:rPr>
          <w:iCs/>
          <w:sz w:val="22"/>
          <w:szCs w:val="22"/>
          <w:lang w:val="es-CR"/>
        </w:rPr>
        <w:t>todas las dirigencias indígenas</w:t>
      </w:r>
      <w:r w:rsidRPr="001B3C72">
        <w:rPr>
          <w:iCs/>
          <w:sz w:val="22"/>
          <w:szCs w:val="22"/>
          <w:lang w:val="es-CR"/>
        </w:rPr>
        <w:t xml:space="preserve"> funcionan similar. </w:t>
      </w:r>
    </w:p>
    <w:p w14:paraId="74E52A72" w14:textId="2E1275B0" w:rsidR="00D37738" w:rsidRPr="001B3C72" w:rsidRDefault="00D37738" w:rsidP="001B3C72">
      <w:pPr>
        <w:pStyle w:val="Ttulo2"/>
        <w:numPr>
          <w:ilvl w:val="0"/>
          <w:numId w:val="4"/>
        </w:numPr>
        <w:spacing w:line="276" w:lineRule="auto"/>
        <w:jc w:val="both"/>
        <w:rPr>
          <w:sz w:val="28"/>
          <w:szCs w:val="28"/>
          <w:lang w:val="es-CR"/>
        </w:rPr>
      </w:pPr>
      <w:bookmarkStart w:id="3" w:name="_Toc230169023"/>
      <w:r w:rsidRPr="001B3C72">
        <w:rPr>
          <w:sz w:val="28"/>
          <w:szCs w:val="28"/>
          <w:lang w:val="es-CR"/>
        </w:rPr>
        <w:t xml:space="preserve">Reconocer que </w:t>
      </w:r>
      <w:r w:rsidR="001B3C72" w:rsidRPr="001B3C72">
        <w:rPr>
          <w:sz w:val="28"/>
          <w:szCs w:val="28"/>
          <w:lang w:val="es-CR"/>
        </w:rPr>
        <w:t xml:space="preserve">el Acuerdo de </w:t>
      </w:r>
      <w:r w:rsidRPr="001B3C72">
        <w:rPr>
          <w:sz w:val="28"/>
          <w:szCs w:val="28"/>
          <w:lang w:val="es-CR"/>
        </w:rPr>
        <w:t>Pago</w:t>
      </w:r>
      <w:r w:rsidR="001B3C72" w:rsidRPr="001B3C72">
        <w:rPr>
          <w:sz w:val="28"/>
          <w:szCs w:val="28"/>
          <w:lang w:val="es-CR"/>
        </w:rPr>
        <w:t xml:space="preserve"> Basado en Desempeño (APBD) </w:t>
      </w:r>
      <w:r w:rsidRPr="001B3C72">
        <w:rPr>
          <w:sz w:val="28"/>
          <w:szCs w:val="28"/>
          <w:lang w:val="es-CR"/>
        </w:rPr>
        <w:t>constituyen un mecanismo efectivo y eficiente para canalizar financiamiento climático de manera directa hacia los titulares de los bosques.</w:t>
      </w:r>
      <w:bookmarkEnd w:id="3"/>
    </w:p>
    <w:p w14:paraId="55AB3582" w14:textId="4E97AA0A" w:rsidR="008B0234" w:rsidRPr="008B0234" w:rsidRDefault="008B0234" w:rsidP="008B0234">
      <w:pPr>
        <w:spacing w:line="276" w:lineRule="auto"/>
        <w:jc w:val="both"/>
        <w:rPr>
          <w:lang w:val="es-CR"/>
        </w:rPr>
      </w:pPr>
      <w:r w:rsidRPr="008B0234">
        <w:rPr>
          <w:lang w:val="es-CR"/>
        </w:rPr>
        <w:t xml:space="preserve">La experiencia de Costa Rica </w:t>
      </w:r>
      <w:r w:rsidR="001B3C72">
        <w:rPr>
          <w:lang w:val="es-CR"/>
        </w:rPr>
        <w:t xml:space="preserve">el APBD </w:t>
      </w:r>
      <w:r w:rsidRPr="008B0234">
        <w:rPr>
          <w:lang w:val="es-CR"/>
        </w:rPr>
        <w:t xml:space="preserve">demuestra que </w:t>
      </w:r>
      <w:proofErr w:type="spellStart"/>
      <w:r w:rsidR="001B3C72">
        <w:rPr>
          <w:lang w:val="es-CR"/>
        </w:rPr>
        <w:t>e</w:t>
      </w:r>
      <w:proofErr w:type="spellEnd"/>
      <w:r w:rsidRPr="008B0234">
        <w:rPr>
          <w:lang w:val="es-CR"/>
        </w:rPr>
        <w:t xml:space="preserve"> un mecanismo eficaz para apoyar de manera más directa a </w:t>
      </w:r>
      <w:r w:rsidR="001B3C72">
        <w:rPr>
          <w:lang w:val="es-CR"/>
        </w:rPr>
        <w:t xml:space="preserve">los gobiernos y en este caso, a </w:t>
      </w:r>
      <w:r w:rsidRPr="008B0234">
        <w:rPr>
          <w:lang w:val="es-CR"/>
        </w:rPr>
        <w:t xml:space="preserve">los titulares de los bosques, canalizando USD 46.64 millones (86% del presupuesto total) a acciones en el territorio a través de los pagos por servicios ambientales y el Programa Nacional de Manejo Integral del Fuego, que así lograron ampliar su cobertura y desempeño. </w:t>
      </w:r>
    </w:p>
    <w:p w14:paraId="24309BEA" w14:textId="68F44132" w:rsidR="008B0234" w:rsidRPr="008B0234" w:rsidRDefault="008B0234" w:rsidP="008B0234">
      <w:pPr>
        <w:spacing w:line="276" w:lineRule="auto"/>
        <w:jc w:val="both"/>
        <w:rPr>
          <w:lang w:val="es-CR"/>
        </w:rPr>
      </w:pPr>
      <w:r w:rsidRPr="008B0234">
        <w:rPr>
          <w:lang w:val="es-CR"/>
        </w:rPr>
        <w:t>La ventana de Pago por Resultados REDD+ permitió un acceso más oportuno al financiamiento y una implementación más flexible. La</w:t>
      </w:r>
      <w:r w:rsidR="001B3C72">
        <w:rPr>
          <w:lang w:val="es-CR"/>
        </w:rPr>
        <w:t xml:space="preserve"> </w:t>
      </w:r>
      <w:r w:rsidRPr="008B0234">
        <w:rPr>
          <w:lang w:val="es-CR"/>
        </w:rPr>
        <w:t xml:space="preserve">Propuesta de Financiamiento del Pago por Resultados REDD+ en Costa Rica se envió al FVC en marzo </w:t>
      </w:r>
      <w:r w:rsidR="001B3C72">
        <w:rPr>
          <w:lang w:val="es-CR"/>
        </w:rPr>
        <w:t>2019</w:t>
      </w:r>
      <w:r w:rsidRPr="008B0234">
        <w:rPr>
          <w:lang w:val="es-CR"/>
        </w:rPr>
        <w:t xml:space="preserve"> y el PNUD </w:t>
      </w:r>
      <w:r w:rsidR="001B3C72" w:rsidRPr="008B0234">
        <w:rPr>
          <w:lang w:val="es-CR"/>
        </w:rPr>
        <w:t>inició</w:t>
      </w:r>
      <w:r w:rsidR="00D37738">
        <w:rPr>
          <w:lang w:val="es-CR"/>
        </w:rPr>
        <w:t xml:space="preserve"> </w:t>
      </w:r>
      <w:r w:rsidRPr="008B0234">
        <w:rPr>
          <w:lang w:val="es-CR"/>
        </w:rPr>
        <w:t>la implementación menos de un año</w:t>
      </w:r>
      <w:r w:rsidR="001B3C72">
        <w:rPr>
          <w:lang w:val="es-CR"/>
        </w:rPr>
        <w:t xml:space="preserve"> y medio</w:t>
      </w:r>
      <w:r w:rsidRPr="008B0234">
        <w:rPr>
          <w:lang w:val="es-CR"/>
        </w:rPr>
        <w:t xml:space="preserve"> después, en febrero de 2021, lo cual contrasta con los largos tiempos de aprobación de los proyectos en otras ventanas del FVC. Asimismo, el hecho de que el FVC transfiriera los recursos en su totalidad en un único desembolso al inicio del proyecto</w:t>
      </w:r>
      <w:r w:rsidR="001B3C72">
        <w:rPr>
          <w:lang w:val="es-CR"/>
        </w:rPr>
        <w:t xml:space="preserve"> permitió una gestión adaptativo durante los 5 años de implementación</w:t>
      </w:r>
      <w:r w:rsidRPr="008B0234">
        <w:rPr>
          <w:lang w:val="es-CR"/>
        </w:rPr>
        <w:t xml:space="preserve">. Además, permitió la generación de intereses bancarios que se canalizaron a una ampliación del proyecto, la cual constituye uno de los pilares de su estrategia de sostenibilidad. </w:t>
      </w:r>
    </w:p>
    <w:p w14:paraId="2C61FD27" w14:textId="77777777" w:rsidR="00D37738" w:rsidRDefault="008B0234" w:rsidP="008B0234">
      <w:pPr>
        <w:spacing w:line="276" w:lineRule="auto"/>
        <w:jc w:val="both"/>
        <w:rPr>
          <w:lang w:val="es-CR"/>
        </w:rPr>
      </w:pPr>
      <w:r w:rsidRPr="008B0234">
        <w:rPr>
          <w:lang w:val="es-CR"/>
        </w:rPr>
        <w:t>Esta flexibilidad, sin embargo, generó el riesgo de dispersar recursos entre una multiplicidad de acciones de alcance limitado y sin prospectivas de continuidad al cierre del proyecto. La Secretaría REDD+ y la Unidad de Gestión del Proyecto juegan un papel clave para asegurar que los apoyos se concentren en las acciones de mayor impacto y sostenibilidad.</w:t>
      </w:r>
    </w:p>
    <w:p w14:paraId="6500A446" w14:textId="77777777" w:rsidR="00D37738" w:rsidRPr="001B3C72" w:rsidRDefault="00D37738" w:rsidP="001B3C72">
      <w:pPr>
        <w:pStyle w:val="Ttulo2"/>
        <w:numPr>
          <w:ilvl w:val="0"/>
          <w:numId w:val="4"/>
        </w:numPr>
        <w:jc w:val="both"/>
        <w:rPr>
          <w:sz w:val="28"/>
          <w:szCs w:val="28"/>
          <w:lang w:val="es-CR"/>
        </w:rPr>
      </w:pPr>
      <w:bookmarkStart w:id="4" w:name="_Toc230169024"/>
      <w:r w:rsidRPr="001B3C72">
        <w:rPr>
          <w:sz w:val="28"/>
          <w:szCs w:val="28"/>
          <w:lang w:val="es-CR"/>
        </w:rPr>
        <w:t>Fortalecer las capacidades institucionales y consolidar programas forestales nacionales como condición clave para facilitar el acceso, la gestión y la absorción efectiva de los Pagos por Resultados REDD+.</w:t>
      </w:r>
      <w:bookmarkEnd w:id="4"/>
    </w:p>
    <w:p w14:paraId="65B62B04" w14:textId="0F1CF571" w:rsidR="008B0234" w:rsidRDefault="008B0234" w:rsidP="008B0234">
      <w:pPr>
        <w:spacing w:line="276" w:lineRule="auto"/>
        <w:jc w:val="both"/>
        <w:rPr>
          <w:lang w:val="es-CR"/>
        </w:rPr>
      </w:pPr>
      <w:r w:rsidRPr="008B0234">
        <w:rPr>
          <w:lang w:val="es-CR"/>
        </w:rPr>
        <w:t xml:space="preserve">El desempeño del proyecto pone de manifiesto la importancia crítica de contar con capacidades institucionales sólidas para implementar mecanismos de Pagos por Resultados REDD+. Los avances logrados en Costa Rica se sustentan en más de una década de construcción institucional en torno a la Estrategia Nacional REDD+ y en la amplia experiencia del país por casi 30 años con los pagos por servicios ambientales, </w:t>
      </w:r>
      <w:r w:rsidRPr="008B0234">
        <w:rPr>
          <w:lang w:val="es-CR"/>
        </w:rPr>
        <w:lastRenderedPageBreak/>
        <w:t>lo que permitió al Gobierno de Costa Rica, por un lado, acreditar reducciones de emisiones sustanciales, y por el otro, absorber los recursos del APBD con relativa rapidez y eficiencia. Aun así, el país sigue enfrentando desafíos para consolidar sus sistemas de salvaguardas y de MRV, lo que apunta a la elevada complejidad de estos requerimientos con respecto a los contextos nacionales donde se implementan.</w:t>
      </w:r>
    </w:p>
    <w:p w14:paraId="189D3762" w14:textId="62AF7FE8" w:rsidR="008B0234" w:rsidRPr="001B3C72" w:rsidRDefault="008B0234" w:rsidP="001B3C72">
      <w:pPr>
        <w:pStyle w:val="Ttulo2"/>
        <w:numPr>
          <w:ilvl w:val="0"/>
          <w:numId w:val="4"/>
        </w:numPr>
        <w:jc w:val="both"/>
        <w:rPr>
          <w:sz w:val="28"/>
          <w:szCs w:val="28"/>
          <w:lang w:val="es-CR"/>
        </w:rPr>
      </w:pPr>
      <w:bookmarkStart w:id="5" w:name="_Toc230169025"/>
      <w:r w:rsidRPr="001B3C72">
        <w:rPr>
          <w:sz w:val="28"/>
          <w:szCs w:val="28"/>
          <w:lang w:val="es-CR"/>
        </w:rPr>
        <w:t>Integrar los Pagos por Resultados REDD+ del FVC en una estrategia de financiamiento más amplia multiplica sus resultados.</w:t>
      </w:r>
      <w:bookmarkEnd w:id="5"/>
      <w:r w:rsidRPr="001B3C72">
        <w:rPr>
          <w:sz w:val="28"/>
          <w:szCs w:val="28"/>
          <w:lang w:val="es-CR"/>
        </w:rPr>
        <w:t xml:space="preserve"> </w:t>
      </w:r>
    </w:p>
    <w:p w14:paraId="626278E6" w14:textId="77777777" w:rsidR="008B0234" w:rsidRPr="008B0234" w:rsidRDefault="008B0234" w:rsidP="008B0234">
      <w:pPr>
        <w:spacing w:line="276" w:lineRule="auto"/>
        <w:jc w:val="both"/>
        <w:rPr>
          <w:lang w:val="es-CR"/>
        </w:rPr>
      </w:pPr>
      <w:r w:rsidRPr="008B0234">
        <w:rPr>
          <w:lang w:val="es-CR"/>
        </w:rPr>
        <w:t>El proyecto abonó a la estrategia de la Secretaría REDD+ de Costa Rica para articular diferentes fuentes de financiamiento en materia forestal. Los CREF ilustran esta articulación al combinar recursos del FVC y del Fondo de Carbono del FCPF para ampliar la cobertura de los pagos por servicios ambientales. Sin embargo, el caso de Costa Rica evidencia los desafíos en integrar estrategias de financiamiento sostenibles en el largo plazo: los CREF dependen de recursos temporales y el PSA enfrenta un riesgo adicional por su dependencia del impuesto a los combustibles fósiles en un contexto de descarbonización. Por otra parte, la experiencia de Costa Rica en la aplicación de estándares jurisdiccionales para el acceso a mercados de carbono, como ART-TREES y el JNR, pone de manifiesto la complejidad de estos procesos, ya que los requerimientos técnicos de MRV superan en algunos casos las capacidades existentes, generando retrasos y costos adicionales.</w:t>
      </w:r>
    </w:p>
    <w:p w14:paraId="76C508A3" w14:textId="77777777" w:rsidR="008B0234" w:rsidRDefault="008B0234" w:rsidP="008B0234">
      <w:pPr>
        <w:spacing w:line="276" w:lineRule="auto"/>
        <w:jc w:val="both"/>
        <w:rPr>
          <w:lang w:val="es-CR"/>
        </w:rPr>
      </w:pPr>
      <w:r w:rsidRPr="008B0234">
        <w:rPr>
          <w:lang w:val="es-CR"/>
        </w:rPr>
        <w:t>Por otra parte, Costa Rica se encuentra en una etapa avanzada de implementación de REDD+, en la que el potencial de reducción de emisiones en el sector forestal tradicional es cada vez más limitado. El país está explorando nuevas fronteras, incluyendo el carbono en suelos, los ecosistemas de manglar y los paisajes agrícolas. No obstante, la expansión hacia estos ámbitos implica desafíos adicionales en medición, verificación y gobernanza, y requiere desarrollar marcos metodológicos y regulatorios adecuados para incorporar estos nuevos componentes en los sistemas REDD+. El proyecto contribuyó a este proceso mediante el desarrollo y pilotaje de una metodología para medir el carbono orgánico en suelos forestales.</w:t>
      </w:r>
    </w:p>
    <w:p w14:paraId="2668463E" w14:textId="77777777" w:rsidR="00D37738" w:rsidRPr="008B0234" w:rsidRDefault="00D37738" w:rsidP="001B3C72">
      <w:pPr>
        <w:spacing w:line="276" w:lineRule="auto"/>
        <w:jc w:val="both"/>
        <w:rPr>
          <w:lang w:val="es-CR"/>
        </w:rPr>
      </w:pPr>
    </w:p>
    <w:p w14:paraId="422F9C50" w14:textId="3F47421D" w:rsidR="00D37738" w:rsidRPr="001B3C72" w:rsidRDefault="00D37738" w:rsidP="001B3C72">
      <w:pPr>
        <w:pStyle w:val="Ttulo2"/>
        <w:numPr>
          <w:ilvl w:val="0"/>
          <w:numId w:val="4"/>
        </w:numPr>
        <w:spacing w:line="276" w:lineRule="auto"/>
        <w:jc w:val="both"/>
        <w:rPr>
          <w:sz w:val="28"/>
          <w:szCs w:val="28"/>
          <w:lang w:val="es-CR"/>
        </w:rPr>
      </w:pPr>
      <w:bookmarkStart w:id="6" w:name="_Toc230169026"/>
      <w:r w:rsidRPr="001B3C72">
        <w:rPr>
          <w:sz w:val="28"/>
          <w:szCs w:val="28"/>
          <w:lang w:val="es-CR"/>
        </w:rPr>
        <w:t>Reconocer que el APBD constituye un instrumento efectivo para la transferencia de recursos, pero que requiere fortalecer los mecanismos de transparencia, seguimiento y rendición de cuentas sobre el uso de los fondos.</w:t>
      </w:r>
      <w:bookmarkEnd w:id="6"/>
    </w:p>
    <w:p w14:paraId="32CCDAA8" w14:textId="2006DBEB" w:rsidR="008B0234" w:rsidRDefault="008B0234" w:rsidP="008B0234">
      <w:pPr>
        <w:spacing w:line="276" w:lineRule="auto"/>
        <w:jc w:val="both"/>
        <w:rPr>
          <w:lang w:val="es-CR"/>
        </w:rPr>
      </w:pPr>
      <w:r w:rsidRPr="008B0234">
        <w:rPr>
          <w:lang w:val="es-CR"/>
        </w:rPr>
        <w:t xml:space="preserve">El proyecto constituyó la primera aplicación exitosa del APBD por parte del PNUD para la transferencia de recursos a entidades gubernamentales. El APBD incorporó altos </w:t>
      </w:r>
      <w:r w:rsidRPr="008B0234">
        <w:rPr>
          <w:lang w:val="es-CR"/>
        </w:rPr>
        <w:lastRenderedPageBreak/>
        <w:t xml:space="preserve">estándares de transparencia en la asignación de recursos, condicionando los desembolsos al logro de resultados predefinidos y al </w:t>
      </w:r>
      <w:r w:rsidRPr="001B3C72">
        <w:rPr>
          <w:sz w:val="22"/>
          <w:szCs w:val="22"/>
          <w:lang w:val="es-CR"/>
        </w:rPr>
        <w:t>cumplimiento</w:t>
      </w:r>
      <w:r w:rsidRPr="008B0234">
        <w:rPr>
          <w:lang w:val="es-CR"/>
        </w:rPr>
        <w:t xml:space="preserve"> de salvaguardas sociales y ambientales. La modalidad DIM fue clave para garantizar la imparcialidad del mecanismo, al igual que el sistema de verificación independiente, con revisiones documentales y visitas de campo anuales, que garantizó que los desembolsos respondieran únicamente a resultados verificables. Estas verificaciones implicaron un costo significativo (alrededor de USD 400,000), por lo que el APBD solo es rentable sólo si se obtienen resultados a gran escala que permitan transferir montos substanciales de recursos. Por otra parte, existen oportunidades de mejora en transparencia ex post. La disponibilidad y accesibilidad de información sobre el uso final de los recursos transferidos a las instituciones ejecutoras es limitada, lo que reduce la rendición de cuentas y la visibilidad de los impactos generados.</w:t>
      </w:r>
    </w:p>
    <w:p w14:paraId="14D9E9BE" w14:textId="1AD63E0B" w:rsidR="008B0234" w:rsidRPr="00377F64" w:rsidRDefault="00D37738" w:rsidP="00377F64">
      <w:pPr>
        <w:pStyle w:val="Ttulo2"/>
        <w:numPr>
          <w:ilvl w:val="0"/>
          <w:numId w:val="4"/>
        </w:numPr>
        <w:jc w:val="both"/>
        <w:rPr>
          <w:sz w:val="28"/>
          <w:szCs w:val="28"/>
          <w:lang w:val="es-CR"/>
        </w:rPr>
      </w:pPr>
      <w:bookmarkStart w:id="7" w:name="_Toc230169027"/>
      <w:r w:rsidRPr="00377F64">
        <w:rPr>
          <w:sz w:val="28"/>
          <w:szCs w:val="28"/>
          <w:lang w:val="es-CR"/>
        </w:rPr>
        <w:t>Fortalecer la especialización técnica y garantizar la continuidad de la Unidad de Gestión del Proyecto como un factor clave para la implementación efectiva de proyectos de gran escala y alta complejidad.</w:t>
      </w:r>
      <w:bookmarkEnd w:id="7"/>
    </w:p>
    <w:p w14:paraId="5AA2263C" w14:textId="06E8CAD6" w:rsidR="00B92D96" w:rsidRDefault="008B0234" w:rsidP="008B0234">
      <w:pPr>
        <w:spacing w:line="276" w:lineRule="auto"/>
        <w:jc w:val="both"/>
        <w:rPr>
          <w:lang w:val="es-CR"/>
        </w:rPr>
      </w:pPr>
      <w:r w:rsidRPr="008B0234">
        <w:rPr>
          <w:lang w:val="es-CR"/>
        </w:rPr>
        <w:t>La calidad y continuidad del equipo del proyecto fueron factores determinantes para el logro de resultados. La Unidad de Gestión del Proyecto estuvo conformada por un equipo altamente especializado, con perfiles en áreas clave como género y pueblos indígenas, lo que fortaleció la calidad de las intervenciones y permitió abordar de manera más integral las dimensiones sociales del proyecto. La continuidad del equipo central del proyecto a lo largo de cinco años fue un factor clave de estabilidad frente a los cambios institucionales a nivel gubernamental. Sin embargo, se subestimó la carga operativa de un proyecto de este tipo, lo que llevó a un aumento progresivo del equipo, evidenciando la necesidad de dimensionar adecuadamente los recursos humanos desde el diseño del proyecto.</w:t>
      </w:r>
    </w:p>
    <w:p w14:paraId="5F4FFD37" w14:textId="798964B0" w:rsidR="00377F64" w:rsidRPr="00377F64" w:rsidRDefault="00377F64" w:rsidP="00377F64">
      <w:pPr>
        <w:pStyle w:val="Prrafodelista"/>
        <w:numPr>
          <w:ilvl w:val="0"/>
          <w:numId w:val="4"/>
        </w:numPr>
        <w:spacing w:line="276" w:lineRule="auto"/>
        <w:jc w:val="both"/>
        <w:rPr>
          <w:rFonts w:asciiTheme="majorHAnsi" w:eastAsiaTheme="majorEastAsia" w:hAnsiTheme="majorHAnsi" w:cstheme="majorBidi"/>
          <w:color w:val="0F4761" w:themeColor="accent1" w:themeShade="BF"/>
          <w:sz w:val="28"/>
          <w:szCs w:val="28"/>
          <w:lang w:val="es-CR"/>
        </w:rPr>
      </w:pPr>
      <w:r w:rsidRPr="00377F64">
        <w:rPr>
          <w:rFonts w:asciiTheme="majorHAnsi" w:eastAsiaTheme="majorEastAsia" w:hAnsiTheme="majorHAnsi" w:cstheme="majorBidi"/>
          <w:color w:val="0F4761" w:themeColor="accent1" w:themeShade="BF"/>
          <w:sz w:val="28"/>
          <w:szCs w:val="28"/>
          <w:lang w:val="es-CR"/>
        </w:rPr>
        <w:t xml:space="preserve"> </w:t>
      </w:r>
      <w:r w:rsidR="00047F0B">
        <w:rPr>
          <w:rFonts w:asciiTheme="majorHAnsi" w:eastAsiaTheme="majorEastAsia" w:hAnsiTheme="majorHAnsi" w:cstheme="majorBidi"/>
          <w:color w:val="0F4761" w:themeColor="accent1" w:themeShade="BF"/>
          <w:sz w:val="28"/>
          <w:szCs w:val="28"/>
          <w:lang w:val="es-CR"/>
        </w:rPr>
        <w:t xml:space="preserve">Priorizar la gestión adaptativa </w:t>
      </w:r>
      <w:r w:rsidR="00B80984">
        <w:rPr>
          <w:rFonts w:asciiTheme="majorHAnsi" w:eastAsiaTheme="majorEastAsia" w:hAnsiTheme="majorHAnsi" w:cstheme="majorBidi"/>
          <w:color w:val="0F4761" w:themeColor="accent1" w:themeShade="BF"/>
          <w:sz w:val="28"/>
          <w:szCs w:val="28"/>
          <w:lang w:val="es-CR"/>
        </w:rPr>
        <w:t>como instrumento de alto impacto de los proyecto</w:t>
      </w:r>
    </w:p>
    <w:p w14:paraId="07BD3D38" w14:textId="77777777" w:rsidR="00047F0B" w:rsidRDefault="006840E4" w:rsidP="00377F64">
      <w:pPr>
        <w:spacing w:line="276" w:lineRule="auto"/>
        <w:jc w:val="both"/>
      </w:pPr>
      <w:r w:rsidRPr="006840E4">
        <w:t>Gracias a su enfoque de gestión adaptativa, el proyecto también generó resultados no previstos de alto impacto potencial, como la elaboración de los planes ambientales, forestales y territoriales (PAFT) en 23 de los 24   territorios indígenas, la aprobación de la Ley 10724 = Tierra para Mujeres y el piloto de café libre de deforestación, que ampliaron la participación sustantiva de las partes interesadas. Estos resultados han contribuido, a su vez, a los esfuerzos del país para alcanzar la neutralidad de carbono.</w:t>
      </w:r>
    </w:p>
    <w:p w14:paraId="76E5A9A7" w14:textId="77777777" w:rsidR="005A537C" w:rsidRDefault="005A537C" w:rsidP="00377F64">
      <w:pPr>
        <w:spacing w:line="276" w:lineRule="auto"/>
        <w:jc w:val="both"/>
      </w:pPr>
    </w:p>
    <w:p w14:paraId="1C4F57E2" w14:textId="77777777" w:rsidR="005A537C" w:rsidRDefault="005A537C" w:rsidP="00377F64">
      <w:pPr>
        <w:spacing w:line="276" w:lineRule="auto"/>
        <w:jc w:val="both"/>
      </w:pPr>
    </w:p>
    <w:p w14:paraId="1ACC5EEF" w14:textId="77777777" w:rsidR="005A537C" w:rsidRDefault="005A537C" w:rsidP="00377F64">
      <w:pPr>
        <w:spacing w:line="276" w:lineRule="auto"/>
        <w:jc w:val="both"/>
      </w:pPr>
    </w:p>
    <w:p w14:paraId="3C884504" w14:textId="77777777" w:rsidR="005A537C" w:rsidRDefault="005A537C" w:rsidP="00377F64">
      <w:pPr>
        <w:spacing w:line="276" w:lineRule="auto"/>
        <w:jc w:val="both"/>
      </w:pPr>
    </w:p>
    <w:p w14:paraId="6B171925" w14:textId="2D62A608" w:rsidR="00377F64" w:rsidRPr="00D37738" w:rsidRDefault="00B80984" w:rsidP="00377F64">
      <w:pPr>
        <w:spacing w:line="276" w:lineRule="auto"/>
        <w:jc w:val="both"/>
      </w:pPr>
      <w:r>
        <w:t>L</w:t>
      </w:r>
      <w:r w:rsidR="00377F64" w:rsidRPr="00D37738">
        <w:t>os PAFT constituyen instrumentos efectivos para la distribución de beneficios de REDD+ en territorios de propiedad colectiva, al fortalecer la planificación territorial, la participación comunitaria y la priorización de inversiones.</w:t>
      </w:r>
    </w:p>
    <w:p w14:paraId="702C9913" w14:textId="77777777" w:rsidR="00377F64" w:rsidRDefault="00377F64" w:rsidP="00377F64">
      <w:pPr>
        <w:spacing w:line="276" w:lineRule="auto"/>
        <w:jc w:val="both"/>
        <w:rPr>
          <w:lang w:val="es-CR"/>
        </w:rPr>
      </w:pPr>
      <w:r w:rsidRPr="00377F64">
        <w:rPr>
          <w:lang w:val="es-CR"/>
        </w:rPr>
        <w:t>Los PAFT, construidos en los 24 Territorios Indígenas del país a través de procesos altamente participativos de CLPI, surgieron como una innovación clave del proyecto. Estos planes definen prioridades de inversión y establecen criterios para la distribución de beneficios de REDD+, fortaleciendo la gobernanza local y facilitando el acceso al financiamiento, incluyendo a los CREF. Sin embargo, su eficacia ha sido afectada por conflictos de gobernanza o sobre la tenencia de la tierra al interior de los Territorios Indígenas, así como por desfases entre, por un lado, las necesidades identificadas en los planes y el tiempo invertido en desarrollarlos, y por el otro, los recursos recibidos a través de los CREF, lo cual apunta a la necesidad de informar de manera más clara a las personas participantes sobre los beneficios que se pueden esperar. De igual manera, existe la necesidad de procesos continuos de fortalecimiento de capacidades de los órganos de gobernanza de los PAFT para asegurar su plena implementación. En términos generales, la experiencia de Costa Rica sugiere que los PAFT pueden desempeñar un papel central en la implementación de REDD+ en tierras colectivas, siempre que se aborden de manera adecuada los desafíos de gobernanza y sostenibilidad. Su replicabilidad dependerá de la capacidad de adaptar estos instrumentos a los contextos locales y de garantizar el apoyo institucional necesario.</w:t>
      </w:r>
    </w:p>
    <w:p w14:paraId="2272C85D" w14:textId="77777777" w:rsidR="006D0E52" w:rsidRDefault="006D0E52" w:rsidP="006D0E52">
      <w:pPr>
        <w:spacing w:line="240" w:lineRule="auto"/>
        <w:jc w:val="both"/>
        <w:rPr>
          <w:lang w:val="es-CR"/>
        </w:rPr>
      </w:pPr>
    </w:p>
    <w:p w14:paraId="6A0217E8" w14:textId="76A7E0A6" w:rsidR="006D0E52" w:rsidRPr="000E30FB" w:rsidRDefault="008A395A" w:rsidP="000E30FB">
      <w:pPr>
        <w:pStyle w:val="Prrafodelista"/>
        <w:numPr>
          <w:ilvl w:val="0"/>
          <w:numId w:val="4"/>
        </w:numPr>
        <w:spacing w:line="276" w:lineRule="auto"/>
        <w:jc w:val="both"/>
        <w:rPr>
          <w:rFonts w:asciiTheme="majorHAnsi" w:eastAsiaTheme="majorEastAsia" w:hAnsiTheme="majorHAnsi" w:cstheme="majorBidi"/>
          <w:color w:val="0F4761" w:themeColor="accent1" w:themeShade="BF"/>
          <w:sz w:val="28"/>
          <w:szCs w:val="28"/>
          <w:lang w:val="es-CR"/>
        </w:rPr>
      </w:pPr>
      <w:r w:rsidRPr="000E30FB">
        <w:rPr>
          <w:rFonts w:asciiTheme="majorHAnsi" w:eastAsiaTheme="majorEastAsia" w:hAnsiTheme="majorHAnsi" w:cstheme="majorBidi"/>
          <w:color w:val="0F4761" w:themeColor="accent1" w:themeShade="BF"/>
          <w:sz w:val="28"/>
          <w:szCs w:val="28"/>
          <w:lang w:val="es-CR"/>
        </w:rPr>
        <w:t>Las</w:t>
      </w:r>
      <w:r w:rsidR="000E30FB" w:rsidRPr="000E30FB">
        <w:rPr>
          <w:rFonts w:asciiTheme="majorHAnsi" w:eastAsiaTheme="majorEastAsia" w:hAnsiTheme="majorHAnsi" w:cstheme="majorBidi"/>
          <w:color w:val="0F4761" w:themeColor="accent1" w:themeShade="BF"/>
          <w:sz w:val="28"/>
          <w:szCs w:val="28"/>
          <w:lang w:val="es-CR"/>
        </w:rPr>
        <w:t xml:space="preserve"> fortaleza institucional es importante para el alcance final del Proyecto</w:t>
      </w:r>
    </w:p>
    <w:p w14:paraId="5735AD01" w14:textId="0763366E" w:rsidR="003C7A0D" w:rsidRPr="006D0E52" w:rsidRDefault="003C7A0D" w:rsidP="006D0E52">
      <w:pPr>
        <w:spacing w:line="240" w:lineRule="auto"/>
        <w:jc w:val="both"/>
        <w:rPr>
          <w:lang w:val="es-CR"/>
        </w:rPr>
      </w:pPr>
      <w:r w:rsidRPr="006D0E52">
        <w:rPr>
          <w:lang w:val="es-CR"/>
        </w:rPr>
        <w:t xml:space="preserve">La existencia de capacidades institucionales sólidas y programas consolidados en materia forestal </w:t>
      </w:r>
      <w:r w:rsidR="008A395A">
        <w:rPr>
          <w:lang w:val="es-CR"/>
        </w:rPr>
        <w:t xml:space="preserve">que posee Costa Rica, fueron </w:t>
      </w:r>
      <w:r w:rsidRPr="006D0E52">
        <w:rPr>
          <w:lang w:val="es-CR"/>
        </w:rPr>
        <w:t>clave para el acceso y la absorción de pagos por resultados REDD+</w:t>
      </w:r>
      <w:r w:rsidR="008A395A">
        <w:rPr>
          <w:lang w:val="es-CR"/>
        </w:rPr>
        <w:t xml:space="preserve">, pero además, para avanzar con el resto de actividades planteadas en el Prodoc. </w:t>
      </w:r>
    </w:p>
    <w:p w14:paraId="189B14D2" w14:textId="4DDA4646" w:rsidR="00D37738" w:rsidRPr="00D37738" w:rsidRDefault="00D37738" w:rsidP="00D37738">
      <w:pPr>
        <w:pStyle w:val="Ttulo1"/>
        <w:rPr>
          <w:color w:val="BF4E14" w:themeColor="accent2" w:themeShade="BF"/>
          <w:lang w:val="es-CR"/>
        </w:rPr>
      </w:pPr>
      <w:bookmarkStart w:id="8" w:name="_Toc230169028"/>
      <w:r w:rsidRPr="00D37738">
        <w:rPr>
          <w:color w:val="BF4E14" w:themeColor="accent2" w:themeShade="BF"/>
          <w:lang w:val="es-CR"/>
        </w:rPr>
        <w:t>Reflexiones finales</w:t>
      </w:r>
      <w:bookmarkEnd w:id="8"/>
    </w:p>
    <w:p w14:paraId="69A77871" w14:textId="14D10482" w:rsidR="00D37738" w:rsidRPr="008B0234" w:rsidRDefault="00D37738" w:rsidP="008B0234">
      <w:pPr>
        <w:spacing w:line="276" w:lineRule="auto"/>
        <w:jc w:val="both"/>
        <w:rPr>
          <w:lang w:val="es-CR"/>
        </w:rPr>
      </w:pPr>
      <w:r w:rsidRPr="00D37738">
        <w:t xml:space="preserve">Las lecciones aprendidas del proyecto evidencian que la implementación efectiva de iniciativas REDD+ requiere una combinación de capacidades institucionales sólidas, mecanismos financieros adecuados, gobernanza participativa y una gestión adaptativa capaz de responder a contextos cambiantes. La experiencia demuestra que </w:t>
      </w:r>
      <w:r w:rsidRPr="00D37738">
        <w:lastRenderedPageBreak/>
        <w:t>instrumentos como los Pagos por Resultados REDD+, el APBD y los PAFT pueden convertirse en herramientas altamente efectivas para canalizar financiamiento climático, fortalecer la participación de actores locales y promover una distribución más equitativa de beneficios, siempre que estén acompañados de mecanismos robustos de transparencia, coordinación interinstitucional y fortalecimiento de capacidades. Asimismo, se reafirma que la continuidad y especialización de las unidades de gestión son determinantes para asegurar la sostenibilidad, la eficiencia y el cumplimiento de resultados en proyectos de alta complejidad, permitiendo además posicionar al país como referente internacional en la implementación de mecanismos innovadores de financiamiento climático y gobernanza forestal.</w:t>
      </w:r>
    </w:p>
    <w:sectPr w:rsidR="00D37738" w:rsidRPr="008B0234" w:rsidSect="008B0234">
      <w:footerReference w:type="default" r:id="rId13"/>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0EDD0" w14:textId="77777777" w:rsidR="00597EBE" w:rsidRDefault="00597EBE" w:rsidP="00D37738">
      <w:pPr>
        <w:spacing w:after="0" w:line="240" w:lineRule="auto"/>
      </w:pPr>
      <w:r>
        <w:separator/>
      </w:r>
    </w:p>
  </w:endnote>
  <w:endnote w:type="continuationSeparator" w:id="0">
    <w:p w14:paraId="6A821FE7" w14:textId="77777777" w:rsidR="00597EBE" w:rsidRDefault="00597EBE" w:rsidP="00D37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073485"/>
      <w:docPartObj>
        <w:docPartGallery w:val="Page Numbers (Bottom of Page)"/>
        <w:docPartUnique/>
      </w:docPartObj>
    </w:sdtPr>
    <w:sdtEndPr/>
    <w:sdtContent>
      <w:p w14:paraId="0566AA77" w14:textId="17944180" w:rsidR="00D37738" w:rsidRDefault="00D37738">
        <w:pPr>
          <w:pStyle w:val="Piedepgina"/>
          <w:jc w:val="right"/>
        </w:pPr>
        <w:r>
          <w:fldChar w:fldCharType="begin"/>
        </w:r>
        <w:r>
          <w:instrText>PAGE   \* MERGEFORMAT</w:instrText>
        </w:r>
        <w:r>
          <w:fldChar w:fldCharType="separate"/>
        </w:r>
        <w:r>
          <w:t>2</w:t>
        </w:r>
        <w:r>
          <w:fldChar w:fldCharType="end"/>
        </w:r>
      </w:p>
    </w:sdtContent>
  </w:sdt>
  <w:p w14:paraId="6618AE47" w14:textId="77777777" w:rsidR="00D37738" w:rsidRDefault="00D3773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2AA0E" w14:textId="77777777" w:rsidR="00597EBE" w:rsidRDefault="00597EBE" w:rsidP="00D37738">
      <w:pPr>
        <w:spacing w:after="0" w:line="240" w:lineRule="auto"/>
      </w:pPr>
      <w:r>
        <w:separator/>
      </w:r>
    </w:p>
  </w:footnote>
  <w:footnote w:type="continuationSeparator" w:id="0">
    <w:p w14:paraId="7C383608" w14:textId="77777777" w:rsidR="00597EBE" w:rsidRDefault="00597EBE" w:rsidP="00D377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A1C29"/>
    <w:multiLevelType w:val="hybridMultilevel"/>
    <w:tmpl w:val="A9C0BFBC"/>
    <w:lvl w:ilvl="0" w:tplc="CDE8E46E">
      <w:start w:val="1"/>
      <w:numFmt w:val="decimal"/>
      <w:lvlText w:val="%1."/>
      <w:lvlJc w:val="left"/>
      <w:pPr>
        <w:ind w:left="720" w:hanging="360"/>
      </w:pPr>
      <w:rPr>
        <w:rFonts w:hint="default"/>
        <w:color w:val="BF4E14" w:themeColor="accent2" w:themeShade="BF"/>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D885CE4"/>
    <w:multiLevelType w:val="hybridMultilevel"/>
    <w:tmpl w:val="D3A279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3E56BA7"/>
    <w:multiLevelType w:val="hybridMultilevel"/>
    <w:tmpl w:val="02C46A6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69DB5246"/>
    <w:multiLevelType w:val="hybridMultilevel"/>
    <w:tmpl w:val="D2F4886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 w15:restartNumberingAfterBreak="0">
    <w:nsid w:val="6A7D13F9"/>
    <w:multiLevelType w:val="hybridMultilevel"/>
    <w:tmpl w:val="AC9C6EA6"/>
    <w:lvl w:ilvl="0" w:tplc="E2C8A83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2A43F8B"/>
    <w:multiLevelType w:val="hybridMultilevel"/>
    <w:tmpl w:val="E402BD0C"/>
    <w:lvl w:ilvl="0" w:tplc="140A0017">
      <w:start w:val="1"/>
      <w:numFmt w:val="lowerLetter"/>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num w:numId="1" w16cid:durableId="2000841922">
    <w:abstractNumId w:val="3"/>
  </w:num>
  <w:num w:numId="2" w16cid:durableId="4391043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3783330">
    <w:abstractNumId w:val="4"/>
  </w:num>
  <w:num w:numId="4" w16cid:durableId="1627539127">
    <w:abstractNumId w:val="0"/>
  </w:num>
  <w:num w:numId="5" w16cid:durableId="1063604132">
    <w:abstractNumId w:val="5"/>
  </w:num>
  <w:num w:numId="6" w16cid:durableId="495415114">
    <w:abstractNumId w:val="2"/>
  </w:num>
  <w:num w:numId="7" w16cid:durableId="414590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34"/>
    <w:rsid w:val="00047F0B"/>
    <w:rsid w:val="000E30FB"/>
    <w:rsid w:val="001B3C72"/>
    <w:rsid w:val="001D27D4"/>
    <w:rsid w:val="00261E2E"/>
    <w:rsid w:val="00377F64"/>
    <w:rsid w:val="003A0CA0"/>
    <w:rsid w:val="003C7A0D"/>
    <w:rsid w:val="00431DE3"/>
    <w:rsid w:val="00597EBE"/>
    <w:rsid w:val="005A537C"/>
    <w:rsid w:val="006840E4"/>
    <w:rsid w:val="006D0E52"/>
    <w:rsid w:val="008169CC"/>
    <w:rsid w:val="008A395A"/>
    <w:rsid w:val="008B0234"/>
    <w:rsid w:val="00904269"/>
    <w:rsid w:val="009153ED"/>
    <w:rsid w:val="009B641C"/>
    <w:rsid w:val="009F730F"/>
    <w:rsid w:val="00A4424E"/>
    <w:rsid w:val="00AC0E9A"/>
    <w:rsid w:val="00B80984"/>
    <w:rsid w:val="00B92D96"/>
    <w:rsid w:val="00C1152D"/>
    <w:rsid w:val="00C41CD9"/>
    <w:rsid w:val="00D37738"/>
    <w:rsid w:val="00EC4F77"/>
    <w:rsid w:val="00EF7076"/>
    <w:rsid w:val="00FC4F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F1F5"/>
  <w15:chartTrackingRefBased/>
  <w15:docId w15:val="{099CC536-8C19-43A6-8F53-47381FCF9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B02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8B02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B023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B023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B023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B023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B023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B023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B023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023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8B023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B023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B023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B023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B023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B023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B023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B0234"/>
    <w:rPr>
      <w:rFonts w:eastAsiaTheme="majorEastAsia" w:cstheme="majorBidi"/>
      <w:color w:val="272727" w:themeColor="text1" w:themeTint="D8"/>
    </w:rPr>
  </w:style>
  <w:style w:type="paragraph" w:styleId="Ttulo">
    <w:name w:val="Title"/>
    <w:basedOn w:val="Normal"/>
    <w:next w:val="Normal"/>
    <w:link w:val="TtuloCar"/>
    <w:uiPriority w:val="10"/>
    <w:qFormat/>
    <w:rsid w:val="008B02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B023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B023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B023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B0234"/>
    <w:pPr>
      <w:spacing w:before="160"/>
      <w:jc w:val="center"/>
    </w:pPr>
    <w:rPr>
      <w:i/>
      <w:iCs/>
      <w:color w:val="404040" w:themeColor="text1" w:themeTint="BF"/>
    </w:rPr>
  </w:style>
  <w:style w:type="character" w:customStyle="1" w:styleId="CitaCar">
    <w:name w:val="Cita Car"/>
    <w:basedOn w:val="Fuentedeprrafopredeter"/>
    <w:link w:val="Cita"/>
    <w:uiPriority w:val="29"/>
    <w:rsid w:val="008B0234"/>
    <w:rPr>
      <w:i/>
      <w:iCs/>
      <w:color w:val="404040" w:themeColor="text1" w:themeTint="BF"/>
    </w:rPr>
  </w:style>
  <w:style w:type="paragraph" w:styleId="Prrafodelista">
    <w:name w:val="List Paragraph"/>
    <w:basedOn w:val="Normal"/>
    <w:uiPriority w:val="34"/>
    <w:qFormat/>
    <w:rsid w:val="008B0234"/>
    <w:pPr>
      <w:ind w:left="720"/>
      <w:contextualSpacing/>
    </w:pPr>
  </w:style>
  <w:style w:type="character" w:styleId="nfasisintenso">
    <w:name w:val="Intense Emphasis"/>
    <w:basedOn w:val="Fuentedeprrafopredeter"/>
    <w:uiPriority w:val="21"/>
    <w:qFormat/>
    <w:rsid w:val="008B0234"/>
    <w:rPr>
      <w:i/>
      <w:iCs/>
      <w:color w:val="0F4761" w:themeColor="accent1" w:themeShade="BF"/>
    </w:rPr>
  </w:style>
  <w:style w:type="paragraph" w:styleId="Citadestacada">
    <w:name w:val="Intense Quote"/>
    <w:basedOn w:val="Normal"/>
    <w:next w:val="Normal"/>
    <w:link w:val="CitadestacadaCar"/>
    <w:uiPriority w:val="30"/>
    <w:qFormat/>
    <w:rsid w:val="008B02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B0234"/>
    <w:rPr>
      <w:i/>
      <w:iCs/>
      <w:color w:val="0F4761" w:themeColor="accent1" w:themeShade="BF"/>
    </w:rPr>
  </w:style>
  <w:style w:type="character" w:styleId="Referenciaintensa">
    <w:name w:val="Intense Reference"/>
    <w:basedOn w:val="Fuentedeprrafopredeter"/>
    <w:uiPriority w:val="32"/>
    <w:qFormat/>
    <w:rsid w:val="008B0234"/>
    <w:rPr>
      <w:b/>
      <w:bCs/>
      <w:smallCaps/>
      <w:color w:val="0F4761" w:themeColor="accent1" w:themeShade="BF"/>
      <w:spacing w:val="5"/>
    </w:rPr>
  </w:style>
  <w:style w:type="paragraph" w:styleId="Sinespaciado">
    <w:name w:val="No Spacing"/>
    <w:link w:val="SinespaciadoCar"/>
    <w:uiPriority w:val="1"/>
    <w:qFormat/>
    <w:rsid w:val="008B0234"/>
    <w:pPr>
      <w:spacing w:after="0" w:line="240" w:lineRule="auto"/>
    </w:pPr>
    <w:rPr>
      <w:rFonts w:eastAsiaTheme="minorEastAsia"/>
      <w:kern w:val="0"/>
      <w:sz w:val="22"/>
      <w:szCs w:val="22"/>
      <w:lang w:eastAsia="es-MX"/>
      <w14:ligatures w14:val="none"/>
    </w:rPr>
  </w:style>
  <w:style w:type="character" w:customStyle="1" w:styleId="SinespaciadoCar">
    <w:name w:val="Sin espaciado Car"/>
    <w:basedOn w:val="Fuentedeprrafopredeter"/>
    <w:link w:val="Sinespaciado"/>
    <w:uiPriority w:val="1"/>
    <w:rsid w:val="008B0234"/>
    <w:rPr>
      <w:rFonts w:eastAsiaTheme="minorEastAsia"/>
      <w:kern w:val="0"/>
      <w:sz w:val="22"/>
      <w:szCs w:val="22"/>
      <w:lang w:eastAsia="es-MX"/>
      <w14:ligatures w14:val="none"/>
    </w:rPr>
  </w:style>
  <w:style w:type="paragraph" w:styleId="NormalWeb">
    <w:name w:val="Normal (Web)"/>
    <w:basedOn w:val="Normal"/>
    <w:uiPriority w:val="99"/>
    <w:semiHidden/>
    <w:unhideWhenUsed/>
    <w:rsid w:val="00D37738"/>
    <w:rPr>
      <w:rFonts w:ascii="Times New Roman" w:hAnsi="Times New Roman" w:cs="Times New Roman"/>
    </w:rPr>
  </w:style>
  <w:style w:type="paragraph" w:styleId="TtuloTDC">
    <w:name w:val="TOC Heading"/>
    <w:basedOn w:val="Ttulo1"/>
    <w:next w:val="Normal"/>
    <w:uiPriority w:val="39"/>
    <w:unhideWhenUsed/>
    <w:qFormat/>
    <w:rsid w:val="00D37738"/>
    <w:pPr>
      <w:spacing w:before="240" w:after="0" w:line="259" w:lineRule="auto"/>
      <w:outlineLvl w:val="9"/>
    </w:pPr>
    <w:rPr>
      <w:kern w:val="0"/>
      <w:sz w:val="32"/>
      <w:szCs w:val="32"/>
      <w:lang w:eastAsia="es-MX"/>
      <w14:ligatures w14:val="none"/>
    </w:rPr>
  </w:style>
  <w:style w:type="paragraph" w:styleId="TDC2">
    <w:name w:val="toc 2"/>
    <w:basedOn w:val="Normal"/>
    <w:next w:val="Normal"/>
    <w:autoRedefine/>
    <w:uiPriority w:val="39"/>
    <w:unhideWhenUsed/>
    <w:rsid w:val="00D37738"/>
    <w:pPr>
      <w:spacing w:after="100"/>
      <w:ind w:left="240"/>
    </w:pPr>
  </w:style>
  <w:style w:type="character" w:styleId="Hipervnculo">
    <w:name w:val="Hyperlink"/>
    <w:basedOn w:val="Fuentedeprrafopredeter"/>
    <w:uiPriority w:val="99"/>
    <w:unhideWhenUsed/>
    <w:rsid w:val="00D37738"/>
    <w:rPr>
      <w:color w:val="467886" w:themeColor="hyperlink"/>
      <w:u w:val="single"/>
    </w:rPr>
  </w:style>
  <w:style w:type="paragraph" w:styleId="TDC1">
    <w:name w:val="toc 1"/>
    <w:basedOn w:val="Normal"/>
    <w:next w:val="Normal"/>
    <w:autoRedefine/>
    <w:uiPriority w:val="39"/>
    <w:unhideWhenUsed/>
    <w:rsid w:val="00D37738"/>
    <w:pPr>
      <w:spacing w:after="100"/>
    </w:pPr>
  </w:style>
  <w:style w:type="paragraph" w:styleId="Encabezado">
    <w:name w:val="header"/>
    <w:basedOn w:val="Normal"/>
    <w:link w:val="EncabezadoCar"/>
    <w:uiPriority w:val="99"/>
    <w:unhideWhenUsed/>
    <w:rsid w:val="00D377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37738"/>
  </w:style>
  <w:style w:type="paragraph" w:styleId="Piedepgina">
    <w:name w:val="footer"/>
    <w:basedOn w:val="Normal"/>
    <w:link w:val="PiedepginaCar"/>
    <w:uiPriority w:val="99"/>
    <w:unhideWhenUsed/>
    <w:rsid w:val="00D377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7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B0494 - Costa Rica - San Jose</OfficeCountry>
    <DocumentStatus xmlns="d9cf0e28-81d2-4dc7-8b10-820d80ed680d">Approved</DocumentStatus>
    <DocCoverageEndDate xmlns="d9cf0e28-81d2-4dc7-8b10-820d80ed680d">2026-05-31T04:00:00+00:00</DocCoverageEndDate>
    <TaxCatchAll xmlns="e91d5986-7c29-4ed1-8a54-b8fb378ed474" xsi:nil="true"/>
    <EventDate xmlns="d9cf0e28-81d2-4dc7-8b10-820d80ed680d" xsi:nil="true"/>
    <ProjectDocumentTypes xmlns="d9cf0e28-81d2-4dc7-8b10-820d80ed680d" xsi:nil="true"/>
    <FunctionalArea xmlns="d9cf0e28-81d2-4dc7-8b10-820d80ed680d" xsi:nil="true"/>
    <FileNameDescription xmlns="d9cf0e28-81d2-4dc7-8b10-820d80ed680d" xsi:nil="true"/>
    <ProjectNumber xmlns="d9cf0e28-81d2-4dc7-8b10-820d80ed680d">00122756</ProjectNumber>
    <DocumentType xmlns="d9cf0e28-81d2-4dc7-8b10-820d80ed680d">Progress Report</DocumentType>
    <Language xmlns="d9cf0e28-81d2-4dc7-8b10-820d80ed680d">Spanish</Language>
    <AuthorName xmlns="d9cf0e28-81d2-4dc7-8b10-820d80ed680d">UNDP</AuthorName>
    <DocumentCategory xmlns="d9cf0e28-81d2-4dc7-8b10-820d80ed680d">Project</DocumentCategory>
    <OperatingUnit xmlns="d9cf0e28-81d2-4dc7-8b10-820d80ed680d">UNDP-CRI</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2025-10-01T04:00:00+00:00</DocCoverageStartDate>
    <FileClassificationMode xmlns="d9cf0e28-81d2-4dc7-8b10-820d80ed680d">Public</FileClassificationMode>
    <OutputNumber xmlns="d9cf0e28-81d2-4dc7-8b10-820d80ed680d">00118235</OutputNumb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5ABD9-A2EB-4DDE-BB91-13E6D1B98661}"/>
</file>

<file path=customXml/itemProps2.xml><?xml version="1.0" encoding="utf-8"?>
<ds:datastoreItem xmlns:ds="http://schemas.openxmlformats.org/officeDocument/2006/customXml" ds:itemID="{D542E4C7-33B1-473F-AD27-B0275FD570F0}">
  <ds:schemaRefs>
    <ds:schemaRef ds:uri="http://schemas.microsoft.com/sharepoint/v3/contenttype/forms"/>
  </ds:schemaRefs>
</ds:datastoreItem>
</file>

<file path=customXml/itemProps3.xml><?xml version="1.0" encoding="utf-8"?>
<ds:datastoreItem xmlns:ds="http://schemas.openxmlformats.org/officeDocument/2006/customXml" ds:itemID="{F38A062C-A7C8-4BDD-85B2-77E82A0DDC72}">
  <ds:schemaRefs>
    <ds:schemaRef ds:uri="http://schemas.microsoft.com/office/2006/metadata/properties"/>
    <ds:schemaRef ds:uri="http://schemas.microsoft.com/office/infopath/2007/PartnerControls"/>
    <ds:schemaRef ds:uri="b8a2dd3c-2917-4568-8202-842ba166104e"/>
  </ds:schemaRefs>
</ds:datastoreItem>
</file>

<file path=customXml/itemProps4.xml><?xml version="1.0" encoding="utf-8"?>
<ds:datastoreItem xmlns:ds="http://schemas.openxmlformats.org/officeDocument/2006/customXml" ds:itemID="{B129244C-A0F6-4878-BB67-7416B408D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7</Pages>
  <Words>2106</Words>
  <Characters>11583</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Informe de lecciones aprendidas</vt:lpstr>
    </vt:vector>
  </TitlesOfParts>
  <Company/>
  <LinksUpToDate>false</LinksUpToDate>
  <CharactersWithSpaces>13662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lecciones aprendidas</dc:title>
  <dc:subject/>
  <dc:creator>Equipo del Proyecto</dc:creator>
  <cp:keywords/>
  <dc:description/>
  <cp:lastModifiedBy>Maureen Ballestero</cp:lastModifiedBy>
  <cp:revision>18</cp:revision>
  <dcterms:created xsi:type="dcterms:W3CDTF">2026-05-20T13:04:00Z</dcterms:created>
  <dcterms:modified xsi:type="dcterms:W3CDTF">2026-05-20T17:31:00Z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